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0A" w:rsidRPr="001C250A" w:rsidRDefault="00156BC6" w:rsidP="00286CE5">
      <w:pPr>
        <w:pStyle w:val="ListParagraph"/>
        <w:numPr>
          <w:ilvl w:val="0"/>
          <w:numId w:val="11"/>
        </w:numPr>
        <w:spacing w:after="0" w:line="480" w:lineRule="auto"/>
        <w:ind w:left="360"/>
        <w:jc w:val="both"/>
        <w:rPr>
          <w:rFonts w:ascii="Times New Roman" w:eastAsia="SimSun" w:hAnsi="Times New Roman" w:cs="Times New Roman"/>
          <w:sz w:val="24"/>
          <w:szCs w:val="24"/>
          <w:lang w:val="en-US" w:eastAsia="zh-CN"/>
        </w:rPr>
      </w:pPr>
      <w:r>
        <w:rPr>
          <w:rFonts w:ascii="Times New Roman" w:hAnsi="Times New Roman" w:cs="Times New Roman"/>
          <w:b/>
          <w:sz w:val="24"/>
          <w:szCs w:val="24"/>
        </w:rPr>
        <w:t>I</w:t>
      </w:r>
      <w:r w:rsidR="005E76E4">
        <w:rPr>
          <w:rFonts w:ascii="Times New Roman" w:hAnsi="Times New Roman" w:cs="Times New Roman"/>
          <w:b/>
          <w:sz w:val="24"/>
          <w:szCs w:val="24"/>
        </w:rPr>
        <w:t>ntroduction</w:t>
      </w:r>
      <w:r w:rsidR="006F54F6">
        <w:rPr>
          <w:rFonts w:ascii="Times New Roman" w:hAnsi="Times New Roman" w:cs="Times New Roman"/>
          <w:b/>
          <w:sz w:val="24"/>
          <w:szCs w:val="24"/>
        </w:rPr>
        <w:t xml:space="preserve">                        </w:t>
      </w:r>
    </w:p>
    <w:p w:rsidR="00802B18" w:rsidRDefault="005E76E4" w:rsidP="00286C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It has been a common saying that t</w:t>
      </w:r>
      <w:r w:rsidR="00153F7E" w:rsidRPr="00257EF9">
        <w:rPr>
          <w:rFonts w:ascii="Times New Roman" w:hAnsi="Times New Roman" w:cs="Times New Roman"/>
          <w:sz w:val="24"/>
          <w:szCs w:val="24"/>
        </w:rPr>
        <w:t xml:space="preserve">he </w:t>
      </w:r>
      <w:r>
        <w:rPr>
          <w:rFonts w:ascii="Times New Roman" w:hAnsi="Times New Roman" w:cs="Times New Roman"/>
          <w:sz w:val="24"/>
          <w:szCs w:val="24"/>
        </w:rPr>
        <w:t>court system</w:t>
      </w:r>
      <w:r w:rsidR="00153F7E" w:rsidRPr="00257EF9">
        <w:rPr>
          <w:rFonts w:ascii="Times New Roman" w:hAnsi="Times New Roman" w:cs="Times New Roman"/>
          <w:sz w:val="24"/>
          <w:szCs w:val="24"/>
        </w:rPr>
        <w:t xml:space="preserve"> is </w:t>
      </w:r>
      <w:r>
        <w:rPr>
          <w:rFonts w:ascii="Times New Roman" w:hAnsi="Times New Roman" w:cs="Times New Roman"/>
          <w:sz w:val="24"/>
          <w:szCs w:val="24"/>
        </w:rPr>
        <w:t xml:space="preserve">the last hope of the common man. </w:t>
      </w:r>
      <w:r w:rsidR="006932C6">
        <w:rPr>
          <w:rFonts w:ascii="Times New Roman" w:hAnsi="Times New Roman" w:cs="Times New Roman"/>
          <w:sz w:val="24"/>
          <w:szCs w:val="24"/>
        </w:rPr>
        <w:t xml:space="preserve">The court in Nigeria is a constitutional entity. For instance, section 6 to the </w:t>
      </w:r>
      <w:r w:rsidR="006932C6" w:rsidRPr="00A939E4">
        <w:rPr>
          <w:rFonts w:ascii="Times New Roman" w:hAnsi="Times New Roman" w:cs="Times New Roman"/>
          <w:sz w:val="24"/>
          <w:szCs w:val="24"/>
        </w:rPr>
        <w:t xml:space="preserve">Nigerian </w:t>
      </w:r>
      <w:r w:rsidR="006932C6">
        <w:rPr>
          <w:rFonts w:ascii="Times New Roman" w:hAnsi="Times New Roman" w:cs="Times New Roman"/>
          <w:sz w:val="24"/>
          <w:szCs w:val="24"/>
        </w:rPr>
        <w:t>Constitution provides for the vesting of the judicial powers of the Federation in the courts.</w:t>
      </w:r>
      <w:r w:rsidR="006932C6">
        <w:rPr>
          <w:rStyle w:val="FootnoteReference"/>
          <w:rFonts w:ascii="Times New Roman" w:hAnsi="Times New Roman" w:cs="Times New Roman"/>
          <w:sz w:val="24"/>
          <w:szCs w:val="24"/>
        </w:rPr>
        <w:footnoteReference w:id="1"/>
      </w:r>
      <w:r w:rsidR="006932C6">
        <w:rPr>
          <w:rFonts w:ascii="Times New Roman" w:hAnsi="Times New Roman" w:cs="Times New Roman"/>
          <w:sz w:val="24"/>
          <w:szCs w:val="24"/>
        </w:rPr>
        <w:t xml:space="preserve"> </w:t>
      </w:r>
      <w:r w:rsidR="00063BF1">
        <w:rPr>
          <w:rFonts w:ascii="Times New Roman" w:hAnsi="Times New Roman" w:cs="Times New Roman"/>
          <w:sz w:val="24"/>
          <w:szCs w:val="24"/>
        </w:rPr>
        <w:t>Nigeria is a constitutional democracy with a subsisting federal structure. There are in place, both federal and state courts that are primarily vested with original jurisdictions in areas proper by it.</w:t>
      </w:r>
      <w:r w:rsidR="00063BF1">
        <w:rPr>
          <w:rStyle w:val="FootnoteReference"/>
          <w:rFonts w:ascii="Times New Roman" w:hAnsi="Times New Roman" w:cs="Times New Roman"/>
          <w:sz w:val="24"/>
          <w:szCs w:val="24"/>
        </w:rPr>
        <w:footnoteReference w:id="2"/>
      </w:r>
      <w:r w:rsidR="00063BF1">
        <w:rPr>
          <w:rFonts w:ascii="Times New Roman" w:hAnsi="Times New Roman" w:cs="Times New Roman"/>
          <w:sz w:val="24"/>
          <w:szCs w:val="24"/>
        </w:rPr>
        <w:t xml:space="preserve"> </w:t>
      </w:r>
      <w:r>
        <w:rPr>
          <w:rFonts w:ascii="Times New Roman" w:hAnsi="Times New Roman" w:cs="Times New Roman"/>
          <w:sz w:val="24"/>
          <w:szCs w:val="24"/>
        </w:rPr>
        <w:t>Ordinarily, most electoral disputes</w:t>
      </w:r>
      <w:r w:rsidR="00153F7E" w:rsidRPr="00257EF9">
        <w:rPr>
          <w:rFonts w:ascii="Times New Roman" w:hAnsi="Times New Roman" w:cs="Times New Roman"/>
          <w:sz w:val="24"/>
          <w:szCs w:val="24"/>
        </w:rPr>
        <w:t xml:space="preserve"> </w:t>
      </w:r>
      <w:r>
        <w:rPr>
          <w:rFonts w:ascii="Times New Roman" w:hAnsi="Times New Roman" w:cs="Times New Roman"/>
          <w:sz w:val="24"/>
          <w:szCs w:val="24"/>
        </w:rPr>
        <w:t>so many a times</w:t>
      </w:r>
      <w:r w:rsidR="00153F7E" w:rsidRPr="00257EF9">
        <w:rPr>
          <w:rFonts w:ascii="Times New Roman" w:hAnsi="Times New Roman" w:cs="Times New Roman"/>
          <w:sz w:val="24"/>
          <w:szCs w:val="24"/>
        </w:rPr>
        <w:t xml:space="preserve"> </w:t>
      </w:r>
      <w:r>
        <w:rPr>
          <w:rFonts w:ascii="Times New Roman" w:hAnsi="Times New Roman" w:cs="Times New Roman"/>
          <w:sz w:val="24"/>
          <w:szCs w:val="24"/>
        </w:rPr>
        <w:t xml:space="preserve">become subject of protracted litigation </w:t>
      </w:r>
      <w:r w:rsidR="00153F7E" w:rsidRPr="00257EF9">
        <w:rPr>
          <w:rFonts w:ascii="Times New Roman" w:hAnsi="Times New Roman" w:cs="Times New Roman"/>
          <w:sz w:val="24"/>
          <w:szCs w:val="24"/>
        </w:rPr>
        <w:t xml:space="preserve">in the </w:t>
      </w:r>
      <w:r>
        <w:rPr>
          <w:rFonts w:ascii="Times New Roman" w:hAnsi="Times New Roman" w:cs="Times New Roman"/>
          <w:sz w:val="24"/>
          <w:szCs w:val="24"/>
        </w:rPr>
        <w:t>c</w:t>
      </w:r>
      <w:r w:rsidR="00063BF1">
        <w:rPr>
          <w:rFonts w:ascii="Times New Roman" w:hAnsi="Times New Roman" w:cs="Times New Roman"/>
          <w:sz w:val="24"/>
          <w:szCs w:val="24"/>
        </w:rPr>
        <w:t>ourt room. Consequent on this, the court judges are made to intervene, in order to settle the litigation.</w:t>
      </w:r>
      <w:r w:rsidR="00153F7E" w:rsidRPr="00257EF9">
        <w:rPr>
          <w:rFonts w:ascii="Times New Roman" w:hAnsi="Times New Roman" w:cs="Times New Roman"/>
          <w:sz w:val="24"/>
          <w:szCs w:val="24"/>
        </w:rPr>
        <w:t xml:space="preserve"> </w:t>
      </w:r>
      <w:r w:rsidR="00063BF1">
        <w:rPr>
          <w:rFonts w:ascii="Times New Roman" w:hAnsi="Times New Roman" w:cs="Times New Roman"/>
          <w:sz w:val="24"/>
          <w:szCs w:val="24"/>
        </w:rPr>
        <w:t>Significantly, early and contemporary jurisprudence did succeed in adopting the perspective that judges are the sole priests of the law, the repositories of its ancient rules and traditions.</w:t>
      </w:r>
      <w:r w:rsidR="00063BF1">
        <w:rPr>
          <w:rStyle w:val="FootnoteReference"/>
          <w:rFonts w:ascii="Times New Roman" w:hAnsi="Times New Roman" w:cs="Times New Roman"/>
          <w:sz w:val="24"/>
          <w:szCs w:val="24"/>
        </w:rPr>
        <w:footnoteReference w:id="3"/>
      </w:r>
      <w:r w:rsidR="00063BF1">
        <w:rPr>
          <w:rFonts w:ascii="Times New Roman" w:hAnsi="Times New Roman" w:cs="Times New Roman"/>
          <w:sz w:val="24"/>
          <w:szCs w:val="24"/>
        </w:rPr>
        <w:t xml:space="preserve"> However, in the conduct of election matters, t</w:t>
      </w:r>
      <w:r>
        <w:rPr>
          <w:rFonts w:ascii="Times New Roman" w:hAnsi="Times New Roman" w:cs="Times New Roman"/>
          <w:sz w:val="24"/>
          <w:szCs w:val="24"/>
        </w:rPr>
        <w:t xml:space="preserve">he electoral </w:t>
      </w:r>
      <w:r w:rsidR="00153F7E" w:rsidRPr="00257EF9">
        <w:rPr>
          <w:rFonts w:ascii="Times New Roman" w:hAnsi="Times New Roman" w:cs="Times New Roman"/>
          <w:sz w:val="24"/>
          <w:szCs w:val="24"/>
        </w:rPr>
        <w:t xml:space="preserve">umpire in Nigeria </w:t>
      </w:r>
      <w:r w:rsidR="00063BF1">
        <w:rPr>
          <w:rFonts w:ascii="Times New Roman" w:hAnsi="Times New Roman" w:cs="Times New Roman"/>
          <w:sz w:val="24"/>
          <w:szCs w:val="24"/>
        </w:rPr>
        <w:t>ha</w:t>
      </w:r>
      <w:r>
        <w:rPr>
          <w:rFonts w:ascii="Times New Roman" w:hAnsi="Times New Roman" w:cs="Times New Roman"/>
          <w:sz w:val="24"/>
          <w:szCs w:val="24"/>
        </w:rPr>
        <w:t xml:space="preserve">s </w:t>
      </w:r>
      <w:r w:rsidR="00063BF1">
        <w:rPr>
          <w:rFonts w:ascii="Times New Roman" w:hAnsi="Times New Roman" w:cs="Times New Roman"/>
          <w:sz w:val="24"/>
          <w:szCs w:val="24"/>
        </w:rPr>
        <w:t xml:space="preserve">been </w:t>
      </w:r>
      <w:r>
        <w:rPr>
          <w:rFonts w:ascii="Times New Roman" w:hAnsi="Times New Roman" w:cs="Times New Roman"/>
          <w:sz w:val="24"/>
          <w:szCs w:val="24"/>
        </w:rPr>
        <w:t>the independent national electoral commission.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For many years, the Nigerian INEC has been enmeshed in controversies, which oftentimes operated to taint its image with distrust, dishonesty and operational doubts. INEC has been struggling to erase this odium associated with its entity. Consequent on this, the INEC </w:t>
      </w:r>
      <w:r w:rsidR="00C02FDF">
        <w:rPr>
          <w:rFonts w:ascii="Times New Roman" w:hAnsi="Times New Roman" w:cs="Times New Roman"/>
          <w:sz w:val="24"/>
          <w:szCs w:val="24"/>
        </w:rPr>
        <w:t xml:space="preserve">resorted to applying the </w:t>
      </w:r>
      <w:r w:rsidR="00153F7E" w:rsidRPr="00257EF9">
        <w:rPr>
          <w:rFonts w:ascii="Times New Roman" w:hAnsi="Times New Roman" w:cs="Times New Roman"/>
          <w:sz w:val="24"/>
          <w:szCs w:val="24"/>
        </w:rPr>
        <w:t>use of electronic devices in the conduct of elections,</w:t>
      </w:r>
      <w:r w:rsidR="00C02FDF">
        <w:rPr>
          <w:rFonts w:ascii="Times New Roman" w:hAnsi="Times New Roman" w:cs="Times New Roman"/>
          <w:sz w:val="24"/>
          <w:szCs w:val="24"/>
        </w:rPr>
        <w:t xml:space="preserve"> proper by her. </w:t>
      </w:r>
    </w:p>
    <w:p w:rsidR="00802B18" w:rsidRDefault="00802B18" w:rsidP="00286CE5">
      <w:pPr>
        <w:spacing w:after="0" w:line="480" w:lineRule="auto"/>
        <w:jc w:val="both"/>
        <w:rPr>
          <w:rFonts w:ascii="Times New Roman" w:hAnsi="Times New Roman" w:cs="Times New Roman"/>
          <w:sz w:val="24"/>
          <w:szCs w:val="24"/>
        </w:rPr>
      </w:pPr>
    </w:p>
    <w:p w:rsidR="00802B18" w:rsidRDefault="00C02FDF" w:rsidP="00286C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singular decision to utilize electronics devices raised the hopes of political parties and their supporters. Those that have cause to challenge the decision of the commission as well as </w:t>
      </w:r>
      <w:r w:rsidR="00153F7E" w:rsidRPr="00257EF9">
        <w:rPr>
          <w:rFonts w:ascii="Times New Roman" w:hAnsi="Times New Roman" w:cs="Times New Roman"/>
          <w:sz w:val="24"/>
          <w:szCs w:val="24"/>
        </w:rPr>
        <w:t xml:space="preserve">litigants have placed so much reliance on the provisions of the Electoral Act </w:t>
      </w:r>
      <w:r>
        <w:rPr>
          <w:rFonts w:ascii="Times New Roman" w:hAnsi="Times New Roman" w:cs="Times New Roman"/>
          <w:sz w:val="24"/>
          <w:szCs w:val="24"/>
        </w:rPr>
        <w:t xml:space="preserve">that introduced </w:t>
      </w:r>
      <w:r w:rsidR="00153F7E" w:rsidRPr="00257EF9">
        <w:rPr>
          <w:rFonts w:ascii="Times New Roman" w:hAnsi="Times New Roman" w:cs="Times New Roman"/>
          <w:sz w:val="24"/>
          <w:szCs w:val="24"/>
        </w:rPr>
        <w:t xml:space="preserve">the use of electronic devices in </w:t>
      </w:r>
      <w:r>
        <w:rPr>
          <w:rFonts w:ascii="Times New Roman" w:hAnsi="Times New Roman" w:cs="Times New Roman"/>
          <w:sz w:val="24"/>
          <w:szCs w:val="24"/>
        </w:rPr>
        <w:t xml:space="preserve">espousing their claims, </w:t>
      </w:r>
      <w:r>
        <w:rPr>
          <w:rFonts w:ascii="Times New Roman" w:hAnsi="Times New Roman" w:cs="Times New Roman"/>
          <w:sz w:val="24"/>
          <w:szCs w:val="24"/>
        </w:rPr>
        <w:lastRenderedPageBreak/>
        <w:t xml:space="preserve">rights and interests. </w:t>
      </w:r>
      <w:r w:rsidR="00B53F19" w:rsidRPr="00257EF9">
        <w:rPr>
          <w:rFonts w:ascii="Times New Roman" w:hAnsi="Times New Roman" w:cs="Times New Roman"/>
          <w:sz w:val="24"/>
          <w:szCs w:val="24"/>
        </w:rPr>
        <w:t>Before introducing electronic devices, v</w:t>
      </w:r>
      <w:r w:rsidR="00153F7E" w:rsidRPr="00257EF9">
        <w:rPr>
          <w:rFonts w:ascii="Times New Roman" w:hAnsi="Times New Roman" w:cs="Times New Roman"/>
          <w:sz w:val="24"/>
          <w:szCs w:val="24"/>
        </w:rPr>
        <w:t>arious amendments of the Electoral Ac</w:t>
      </w:r>
      <w:r w:rsidR="00083011" w:rsidRPr="00257EF9">
        <w:rPr>
          <w:rFonts w:ascii="Times New Roman" w:hAnsi="Times New Roman" w:cs="Times New Roman"/>
          <w:sz w:val="24"/>
          <w:szCs w:val="24"/>
        </w:rPr>
        <w:t xml:space="preserve">t have at one stage or the other </w:t>
      </w:r>
      <w:r w:rsidR="00153F7E" w:rsidRPr="00257EF9">
        <w:rPr>
          <w:rFonts w:ascii="Times New Roman" w:hAnsi="Times New Roman" w:cs="Times New Roman"/>
          <w:sz w:val="24"/>
          <w:szCs w:val="24"/>
        </w:rPr>
        <w:t>made provisions for the use of electronic devices</w:t>
      </w:r>
      <w:r>
        <w:rPr>
          <w:rFonts w:ascii="Times New Roman" w:hAnsi="Times New Roman" w:cs="Times New Roman"/>
          <w:sz w:val="24"/>
          <w:szCs w:val="24"/>
        </w:rPr>
        <w:t xml:space="preserve"> in the conduct of the election, for instance, s</w:t>
      </w:r>
      <w:r w:rsidR="00153F7E" w:rsidRPr="00C02FDF">
        <w:rPr>
          <w:rFonts w:ascii="Times New Roman" w:hAnsi="Times New Roman" w:cs="Times New Roman"/>
          <w:sz w:val="24"/>
          <w:szCs w:val="24"/>
        </w:rPr>
        <w:t>ection 153 of the Electoral Act</w:t>
      </w:r>
      <w:r>
        <w:rPr>
          <w:rFonts w:ascii="Times New Roman" w:hAnsi="Times New Roman" w:cs="Times New Roman"/>
          <w:sz w:val="24"/>
          <w:szCs w:val="24"/>
        </w:rPr>
        <w:t>,</w:t>
      </w:r>
      <w:r w:rsidR="00153F7E" w:rsidRPr="00C02FDF">
        <w:rPr>
          <w:vertAlign w:val="superscript"/>
        </w:rPr>
        <w:footnoteReference w:id="5"/>
      </w:r>
      <w:r w:rsidR="00153F7E" w:rsidRPr="00C02FDF">
        <w:rPr>
          <w:rFonts w:ascii="Times New Roman" w:hAnsi="Times New Roman" w:cs="Times New Roman"/>
          <w:sz w:val="24"/>
          <w:szCs w:val="24"/>
        </w:rPr>
        <w:t xml:space="preserve"> </w:t>
      </w:r>
      <w:r>
        <w:rPr>
          <w:rFonts w:ascii="Times New Roman" w:hAnsi="Times New Roman" w:cs="Times New Roman"/>
          <w:sz w:val="24"/>
          <w:szCs w:val="24"/>
        </w:rPr>
        <w:t xml:space="preserve">donated </w:t>
      </w:r>
      <w:r w:rsidR="00153F7E" w:rsidRPr="00257EF9">
        <w:rPr>
          <w:rFonts w:ascii="Times New Roman" w:hAnsi="Times New Roman" w:cs="Times New Roman"/>
          <w:sz w:val="24"/>
          <w:szCs w:val="24"/>
        </w:rPr>
        <w:t>power to the Independent Nati</w:t>
      </w:r>
      <w:r>
        <w:rPr>
          <w:rFonts w:ascii="Times New Roman" w:hAnsi="Times New Roman" w:cs="Times New Roman"/>
          <w:sz w:val="24"/>
          <w:szCs w:val="24"/>
        </w:rPr>
        <w:t>onal Electoral Commission</w:t>
      </w:r>
      <w:r w:rsidR="00153F7E" w:rsidRPr="00257EF9">
        <w:rPr>
          <w:rFonts w:ascii="Times New Roman" w:hAnsi="Times New Roman" w:cs="Times New Roman"/>
          <w:sz w:val="24"/>
          <w:szCs w:val="24"/>
        </w:rPr>
        <w:t xml:space="preserve"> to issue regulations, guidelines or manuals for the purpose of giving effect to the provisions of the Electoral Act and for its administration thereof. Consequently, the Commission usually issue guidelines and regulations for general elections. These guidelines were issued for the variou</w:t>
      </w:r>
      <w:r>
        <w:rPr>
          <w:rFonts w:ascii="Times New Roman" w:hAnsi="Times New Roman" w:cs="Times New Roman"/>
          <w:sz w:val="24"/>
          <w:szCs w:val="24"/>
        </w:rPr>
        <w:t>s election cycles of 2015, 2019 and 2023 g</w:t>
      </w:r>
      <w:r w:rsidR="00153F7E" w:rsidRPr="00257EF9">
        <w:rPr>
          <w:rFonts w:ascii="Times New Roman" w:hAnsi="Times New Roman" w:cs="Times New Roman"/>
          <w:sz w:val="24"/>
          <w:szCs w:val="24"/>
        </w:rPr>
        <w:t xml:space="preserve">eneral </w:t>
      </w:r>
      <w:r>
        <w:rPr>
          <w:rFonts w:ascii="Times New Roman" w:hAnsi="Times New Roman" w:cs="Times New Roman"/>
          <w:sz w:val="24"/>
          <w:szCs w:val="24"/>
        </w:rPr>
        <w:t>e</w:t>
      </w:r>
      <w:r w:rsidR="00980AE7" w:rsidRPr="00257EF9">
        <w:rPr>
          <w:rFonts w:ascii="Times New Roman" w:hAnsi="Times New Roman" w:cs="Times New Roman"/>
          <w:sz w:val="24"/>
          <w:szCs w:val="24"/>
        </w:rPr>
        <w:t>lections a</w:t>
      </w:r>
      <w:r>
        <w:rPr>
          <w:rFonts w:ascii="Times New Roman" w:hAnsi="Times New Roman" w:cs="Times New Roman"/>
          <w:sz w:val="24"/>
          <w:szCs w:val="24"/>
        </w:rPr>
        <w:t xml:space="preserve">s well as the </w:t>
      </w:r>
      <w:proofErr w:type="spellStart"/>
      <w:r w:rsidR="00980AE7" w:rsidRPr="00257EF9">
        <w:rPr>
          <w:rFonts w:ascii="Times New Roman" w:hAnsi="Times New Roman" w:cs="Times New Roman"/>
          <w:sz w:val="24"/>
          <w:szCs w:val="24"/>
        </w:rPr>
        <w:t>Osun</w:t>
      </w:r>
      <w:proofErr w:type="spellEnd"/>
      <w:r w:rsidR="00980AE7" w:rsidRPr="00257EF9">
        <w:rPr>
          <w:rFonts w:ascii="Times New Roman" w:hAnsi="Times New Roman" w:cs="Times New Roman"/>
          <w:sz w:val="24"/>
          <w:szCs w:val="24"/>
        </w:rPr>
        <w:t xml:space="preserve"> and </w:t>
      </w:r>
      <w:proofErr w:type="spellStart"/>
      <w:r w:rsidR="00153F7E" w:rsidRPr="00257EF9">
        <w:rPr>
          <w:rFonts w:ascii="Times New Roman" w:hAnsi="Times New Roman" w:cs="Times New Roman"/>
          <w:sz w:val="24"/>
          <w:szCs w:val="24"/>
        </w:rPr>
        <w:t>Ekiti</w:t>
      </w:r>
      <w:proofErr w:type="spellEnd"/>
      <w:r w:rsidR="00153F7E" w:rsidRPr="00257EF9">
        <w:rPr>
          <w:rFonts w:ascii="Times New Roman" w:hAnsi="Times New Roman" w:cs="Times New Roman"/>
          <w:sz w:val="24"/>
          <w:szCs w:val="24"/>
        </w:rPr>
        <w:t xml:space="preserve"> State</w:t>
      </w:r>
      <w:r w:rsidR="00802B18">
        <w:rPr>
          <w:rFonts w:ascii="Times New Roman" w:hAnsi="Times New Roman" w:cs="Times New Roman"/>
          <w:sz w:val="24"/>
          <w:szCs w:val="24"/>
        </w:rPr>
        <w:t>s</w:t>
      </w:r>
      <w:r>
        <w:rPr>
          <w:rFonts w:ascii="Times New Roman" w:hAnsi="Times New Roman" w:cs="Times New Roman"/>
          <w:sz w:val="24"/>
          <w:szCs w:val="24"/>
        </w:rPr>
        <w:t xml:space="preserve"> governorship elections of 2022.</w:t>
      </w:r>
      <w:r w:rsidR="00153F7E" w:rsidRPr="00153F7E">
        <w:rPr>
          <w:vertAlign w:val="superscript"/>
        </w:rPr>
        <w:footnoteReference w:id="6"/>
      </w:r>
      <w:r w:rsidR="00153F7E" w:rsidRPr="00257EF9">
        <w:rPr>
          <w:rFonts w:ascii="Times New Roman" w:hAnsi="Times New Roman" w:cs="Times New Roman"/>
          <w:sz w:val="24"/>
          <w:szCs w:val="24"/>
        </w:rPr>
        <w:t xml:space="preserve"> </w:t>
      </w:r>
    </w:p>
    <w:p w:rsidR="00802B18" w:rsidRDefault="00802B18" w:rsidP="00286CE5">
      <w:pPr>
        <w:spacing w:after="0" w:line="480" w:lineRule="auto"/>
        <w:jc w:val="both"/>
        <w:rPr>
          <w:rFonts w:ascii="Times New Roman" w:hAnsi="Times New Roman" w:cs="Times New Roman"/>
          <w:sz w:val="24"/>
          <w:szCs w:val="24"/>
        </w:rPr>
      </w:pPr>
    </w:p>
    <w:p w:rsidR="00153F7E" w:rsidRPr="00257EF9" w:rsidRDefault="00153F7E" w:rsidP="00286CE5">
      <w:pPr>
        <w:spacing w:after="0" w:line="480" w:lineRule="auto"/>
        <w:jc w:val="both"/>
        <w:rPr>
          <w:rFonts w:ascii="Times New Roman" w:eastAsia="SimSun" w:hAnsi="Times New Roman" w:cs="Times New Roman"/>
          <w:sz w:val="24"/>
          <w:szCs w:val="24"/>
          <w:lang w:val="en-US" w:eastAsia="zh-CN"/>
        </w:rPr>
      </w:pPr>
      <w:r w:rsidRPr="00257EF9">
        <w:rPr>
          <w:rFonts w:ascii="Times New Roman" w:hAnsi="Times New Roman" w:cs="Times New Roman"/>
          <w:sz w:val="24"/>
          <w:szCs w:val="24"/>
        </w:rPr>
        <w:t xml:space="preserve">In </w:t>
      </w:r>
      <w:proofErr w:type="spellStart"/>
      <w:r w:rsidRPr="00C02FDF">
        <w:rPr>
          <w:rFonts w:ascii="Times New Roman" w:hAnsi="Times New Roman" w:cs="Times New Roman"/>
          <w:i/>
          <w:sz w:val="24"/>
          <w:szCs w:val="24"/>
        </w:rPr>
        <w:t>O</w:t>
      </w:r>
      <w:r w:rsidR="00C02FDF">
        <w:rPr>
          <w:rFonts w:ascii="Times New Roman" w:hAnsi="Times New Roman" w:cs="Times New Roman"/>
          <w:i/>
          <w:sz w:val="24"/>
          <w:szCs w:val="24"/>
        </w:rPr>
        <w:t>kechukwu</w:t>
      </w:r>
      <w:proofErr w:type="spellEnd"/>
      <w:r w:rsidR="00C02FDF">
        <w:rPr>
          <w:rFonts w:ascii="Times New Roman" w:hAnsi="Times New Roman" w:cs="Times New Roman"/>
          <w:i/>
          <w:sz w:val="24"/>
          <w:szCs w:val="24"/>
        </w:rPr>
        <w:t xml:space="preserve"> v</w:t>
      </w:r>
      <w:r w:rsidRPr="00C02FDF">
        <w:rPr>
          <w:rFonts w:ascii="Times New Roman" w:hAnsi="Times New Roman" w:cs="Times New Roman"/>
          <w:i/>
          <w:sz w:val="24"/>
          <w:szCs w:val="24"/>
        </w:rPr>
        <w:t xml:space="preserve"> </w:t>
      </w:r>
      <w:proofErr w:type="spellStart"/>
      <w:r w:rsidRPr="00C02FDF">
        <w:rPr>
          <w:rFonts w:ascii="Times New Roman" w:hAnsi="Times New Roman" w:cs="Times New Roman"/>
          <w:i/>
          <w:sz w:val="24"/>
          <w:szCs w:val="24"/>
        </w:rPr>
        <w:t>O</w:t>
      </w:r>
      <w:r w:rsidR="00C02FDF">
        <w:rPr>
          <w:rFonts w:ascii="Times New Roman" w:hAnsi="Times New Roman" w:cs="Times New Roman"/>
          <w:i/>
          <w:sz w:val="24"/>
          <w:szCs w:val="24"/>
        </w:rPr>
        <w:t>nyeagbu</w:t>
      </w:r>
      <w:proofErr w:type="spellEnd"/>
      <w:r w:rsidR="00C02FDF">
        <w:rPr>
          <w:rFonts w:ascii="Times New Roman" w:hAnsi="Times New Roman" w:cs="Times New Roman"/>
          <w:i/>
          <w:sz w:val="24"/>
          <w:szCs w:val="24"/>
        </w:rPr>
        <w:t>,</w:t>
      </w:r>
      <w:r w:rsidRPr="00C02FDF">
        <w:rPr>
          <w:rFonts w:ascii="Times New Roman" w:hAnsi="Times New Roman" w:cs="Times New Roman"/>
          <w:i/>
          <w:vertAlign w:val="superscript"/>
        </w:rPr>
        <w:footnoteReference w:id="7"/>
      </w:r>
      <w:r w:rsidRPr="00257EF9">
        <w:rPr>
          <w:rFonts w:ascii="Times New Roman" w:hAnsi="Times New Roman" w:cs="Times New Roman"/>
          <w:sz w:val="24"/>
          <w:szCs w:val="24"/>
        </w:rPr>
        <w:t xml:space="preserve"> the Court of Appeal </w:t>
      </w:r>
      <w:r w:rsidR="00C02FDF">
        <w:rPr>
          <w:rFonts w:ascii="Times New Roman" w:hAnsi="Times New Roman" w:cs="Times New Roman"/>
          <w:sz w:val="24"/>
          <w:szCs w:val="24"/>
        </w:rPr>
        <w:t xml:space="preserve">considered </w:t>
      </w:r>
      <w:r w:rsidRPr="00257EF9">
        <w:rPr>
          <w:rFonts w:ascii="Times New Roman" w:hAnsi="Times New Roman" w:cs="Times New Roman"/>
          <w:sz w:val="24"/>
          <w:szCs w:val="24"/>
        </w:rPr>
        <w:t>the purport of th</w:t>
      </w:r>
      <w:r w:rsidR="000A30A5">
        <w:rPr>
          <w:rFonts w:ascii="Times New Roman" w:hAnsi="Times New Roman" w:cs="Times New Roman"/>
          <w:sz w:val="24"/>
          <w:szCs w:val="24"/>
        </w:rPr>
        <w:t>e Manual for Election Officials</w:t>
      </w:r>
      <w:r w:rsidRPr="00257EF9">
        <w:rPr>
          <w:rFonts w:ascii="Times New Roman" w:hAnsi="Times New Roman" w:cs="Times New Roman"/>
          <w:sz w:val="24"/>
          <w:szCs w:val="24"/>
        </w:rPr>
        <w:t xml:space="preserve"> 2007 made pursuant to </w:t>
      </w:r>
      <w:r w:rsidR="000A30A5">
        <w:rPr>
          <w:rFonts w:ascii="Times New Roman" w:hAnsi="Times New Roman" w:cs="Times New Roman"/>
          <w:sz w:val="24"/>
          <w:szCs w:val="24"/>
        </w:rPr>
        <w:t>s</w:t>
      </w:r>
      <w:r w:rsidRPr="000A30A5">
        <w:rPr>
          <w:rFonts w:ascii="Times New Roman" w:hAnsi="Times New Roman" w:cs="Times New Roman"/>
          <w:sz w:val="24"/>
          <w:szCs w:val="24"/>
        </w:rPr>
        <w:t>ection 161 of the Electoral Act</w:t>
      </w:r>
      <w:r w:rsidRPr="000A30A5">
        <w:rPr>
          <w:vertAlign w:val="superscript"/>
        </w:rPr>
        <w:footnoteReference w:id="8"/>
      </w:r>
      <w:r w:rsidRPr="00257EF9">
        <w:rPr>
          <w:rFonts w:ascii="Times New Roman" w:hAnsi="Times New Roman" w:cs="Times New Roman"/>
          <w:b/>
          <w:i/>
          <w:sz w:val="24"/>
          <w:szCs w:val="24"/>
        </w:rPr>
        <w:t xml:space="preserve"> </w:t>
      </w:r>
      <w:r w:rsidRPr="00257EF9">
        <w:rPr>
          <w:rFonts w:ascii="Times New Roman" w:hAnsi="Times New Roman" w:cs="Times New Roman"/>
          <w:sz w:val="24"/>
          <w:szCs w:val="24"/>
        </w:rPr>
        <w:t xml:space="preserve">which is </w:t>
      </w:r>
      <w:r w:rsidRPr="00257EF9">
        <w:rPr>
          <w:rFonts w:ascii="Times New Roman" w:hAnsi="Times New Roman" w:cs="Times New Roman"/>
          <w:i/>
          <w:sz w:val="24"/>
          <w:szCs w:val="24"/>
        </w:rPr>
        <w:t xml:space="preserve">in </w:t>
      </w:r>
      <w:proofErr w:type="spellStart"/>
      <w:r w:rsidRPr="00257EF9">
        <w:rPr>
          <w:rFonts w:ascii="Times New Roman" w:hAnsi="Times New Roman" w:cs="Times New Roman"/>
          <w:i/>
          <w:sz w:val="24"/>
          <w:szCs w:val="24"/>
        </w:rPr>
        <w:t>pari</w:t>
      </w:r>
      <w:r w:rsidR="000A30A5">
        <w:rPr>
          <w:rFonts w:ascii="Times New Roman" w:hAnsi="Times New Roman" w:cs="Times New Roman"/>
          <w:i/>
          <w:sz w:val="24"/>
          <w:szCs w:val="24"/>
        </w:rPr>
        <w:t>-</w:t>
      </w:r>
      <w:r w:rsidRPr="00257EF9">
        <w:rPr>
          <w:rFonts w:ascii="Times New Roman" w:hAnsi="Times New Roman" w:cs="Times New Roman"/>
          <w:i/>
          <w:sz w:val="24"/>
          <w:szCs w:val="24"/>
        </w:rPr>
        <w:t>materia</w:t>
      </w:r>
      <w:proofErr w:type="spellEnd"/>
      <w:r w:rsidRPr="00257EF9">
        <w:rPr>
          <w:rFonts w:ascii="Times New Roman" w:hAnsi="Times New Roman" w:cs="Times New Roman"/>
          <w:sz w:val="24"/>
          <w:szCs w:val="24"/>
        </w:rPr>
        <w:t xml:space="preserve"> with</w:t>
      </w:r>
      <w:r w:rsidRPr="00257EF9">
        <w:rPr>
          <w:rFonts w:ascii="Times New Roman" w:hAnsi="Times New Roman" w:cs="Times New Roman"/>
          <w:b/>
          <w:i/>
          <w:sz w:val="24"/>
          <w:szCs w:val="24"/>
        </w:rPr>
        <w:t xml:space="preserve"> </w:t>
      </w:r>
      <w:r w:rsidR="000A30A5">
        <w:rPr>
          <w:rFonts w:ascii="Times New Roman" w:hAnsi="Times New Roman" w:cs="Times New Roman"/>
          <w:sz w:val="24"/>
          <w:szCs w:val="24"/>
        </w:rPr>
        <w:t>s</w:t>
      </w:r>
      <w:r w:rsidRPr="000A30A5">
        <w:rPr>
          <w:rFonts w:ascii="Times New Roman" w:hAnsi="Times New Roman" w:cs="Times New Roman"/>
          <w:sz w:val="24"/>
          <w:szCs w:val="24"/>
        </w:rPr>
        <w:t>ection 153 of the Electoral Act</w:t>
      </w:r>
      <w:r w:rsidRPr="000A30A5">
        <w:rPr>
          <w:vertAlign w:val="superscript"/>
        </w:rPr>
        <w:footnoteReference w:id="9"/>
      </w:r>
      <w:r w:rsidR="000A30A5">
        <w:rPr>
          <w:rFonts w:ascii="Times New Roman" w:hAnsi="Times New Roman" w:cs="Times New Roman"/>
          <w:sz w:val="24"/>
          <w:szCs w:val="24"/>
        </w:rPr>
        <w:t xml:space="preserve"> and</w:t>
      </w:r>
      <w:r w:rsidRPr="00257EF9">
        <w:rPr>
          <w:rFonts w:ascii="Times New Roman" w:hAnsi="Times New Roman" w:cs="Times New Roman"/>
          <w:sz w:val="24"/>
          <w:szCs w:val="24"/>
        </w:rPr>
        <w:t xml:space="preserve"> held </w:t>
      </w:r>
      <w:r w:rsidR="000A30A5">
        <w:rPr>
          <w:rFonts w:ascii="Times New Roman" w:hAnsi="Times New Roman" w:cs="Times New Roman"/>
          <w:sz w:val="24"/>
          <w:szCs w:val="24"/>
        </w:rPr>
        <w:t>that</w:t>
      </w:r>
      <w:r w:rsidRPr="00257EF9">
        <w:rPr>
          <w:rFonts w:ascii="Times New Roman" w:hAnsi="Times New Roman" w:cs="Times New Roman"/>
          <w:sz w:val="24"/>
          <w:szCs w:val="24"/>
        </w:rPr>
        <w:t>:</w:t>
      </w:r>
    </w:p>
    <w:p w:rsidR="00074781" w:rsidRDefault="000A30A5" w:rsidP="00286CE5">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T</w:t>
      </w:r>
      <w:r w:rsidR="00153F7E" w:rsidRPr="000A30A5">
        <w:rPr>
          <w:rFonts w:ascii="Times New Roman" w:hAnsi="Times New Roman" w:cs="Times New Roman"/>
          <w:sz w:val="24"/>
          <w:szCs w:val="24"/>
        </w:rPr>
        <w:t xml:space="preserve">he Manual for Election </w:t>
      </w:r>
      <w:r>
        <w:rPr>
          <w:rFonts w:ascii="Times New Roman" w:hAnsi="Times New Roman" w:cs="Times New Roman"/>
          <w:sz w:val="24"/>
          <w:szCs w:val="24"/>
        </w:rPr>
        <w:t>Officials</w:t>
      </w:r>
      <w:r w:rsidR="00153F7E" w:rsidRPr="000A30A5">
        <w:rPr>
          <w:rFonts w:ascii="Times New Roman" w:hAnsi="Times New Roman" w:cs="Times New Roman"/>
          <w:sz w:val="24"/>
          <w:szCs w:val="24"/>
        </w:rPr>
        <w:t xml:space="preserve"> 2007 (exhibit AK in the instant case) was published by INEC for the fundamental objective of giving effect to the provisions of the Electoral Act 2006. The guidelines are undoubtedly meant to be strictly constructed and adhered to by the electoral officials concerned in the process and procedure for election.</w:t>
      </w:r>
    </w:p>
    <w:p w:rsidR="000A30A5" w:rsidRPr="000A30A5" w:rsidRDefault="000A30A5" w:rsidP="00286CE5">
      <w:pPr>
        <w:spacing w:after="0" w:line="480" w:lineRule="auto"/>
        <w:ind w:left="720" w:right="720"/>
        <w:jc w:val="both"/>
        <w:rPr>
          <w:rFonts w:ascii="Times New Roman" w:hAnsi="Times New Roman" w:cs="Times New Roman"/>
          <w:sz w:val="24"/>
          <w:szCs w:val="24"/>
        </w:rPr>
      </w:pPr>
    </w:p>
    <w:p w:rsidR="005150EF" w:rsidRDefault="000A30A5" w:rsidP="00286C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w:t>
      </w:r>
      <w:r w:rsidR="00153F7E" w:rsidRPr="000A30A5">
        <w:rPr>
          <w:rFonts w:ascii="Times New Roman" w:hAnsi="Times New Roman" w:cs="Times New Roman"/>
          <w:sz w:val="24"/>
          <w:szCs w:val="24"/>
        </w:rPr>
        <w:t>the</w:t>
      </w:r>
      <w:r w:rsidR="00153F7E" w:rsidRPr="000A30A5">
        <w:rPr>
          <w:rFonts w:ascii="Times New Roman" w:hAnsi="Times New Roman" w:cs="Times New Roman"/>
          <w:b/>
          <w:sz w:val="24"/>
          <w:szCs w:val="24"/>
        </w:rPr>
        <w:t xml:space="preserve"> </w:t>
      </w:r>
      <w:r w:rsidR="00153F7E" w:rsidRPr="000A30A5">
        <w:rPr>
          <w:rFonts w:ascii="Times New Roman" w:hAnsi="Times New Roman" w:cs="Times New Roman"/>
          <w:sz w:val="24"/>
          <w:szCs w:val="24"/>
        </w:rPr>
        <w:t>INEC</w:t>
      </w:r>
      <w:r w:rsidR="00153F7E" w:rsidRPr="000A30A5">
        <w:rPr>
          <w:rFonts w:ascii="Times New Roman" w:hAnsi="Times New Roman" w:cs="Times New Roman"/>
          <w:b/>
          <w:sz w:val="24"/>
          <w:szCs w:val="24"/>
        </w:rPr>
        <w:t xml:space="preserve"> </w:t>
      </w:r>
      <w:r w:rsidR="00153F7E" w:rsidRPr="000A30A5">
        <w:rPr>
          <w:rFonts w:ascii="Times New Roman" w:hAnsi="Times New Roman" w:cs="Times New Roman"/>
          <w:sz w:val="24"/>
          <w:szCs w:val="24"/>
        </w:rPr>
        <w:t>Regulations and Guidelines fo</w:t>
      </w:r>
      <w:r>
        <w:rPr>
          <w:rFonts w:ascii="Times New Roman" w:hAnsi="Times New Roman" w:cs="Times New Roman"/>
          <w:sz w:val="24"/>
          <w:szCs w:val="24"/>
        </w:rPr>
        <w:t>r the Conduct of Elections 2019</w:t>
      </w:r>
      <w:r w:rsidR="00153F7E" w:rsidRPr="000A30A5">
        <w:rPr>
          <w:rFonts w:ascii="Times New Roman" w:hAnsi="Times New Roman" w:cs="Times New Roman"/>
          <w:sz w:val="24"/>
          <w:szCs w:val="24"/>
        </w:rPr>
        <w:t xml:space="preserve"> specifically in Clause 10</w:t>
      </w:r>
      <w:r>
        <w:rPr>
          <w:rFonts w:ascii="Times New Roman" w:hAnsi="Times New Roman" w:cs="Times New Roman"/>
          <w:sz w:val="24"/>
          <w:szCs w:val="24"/>
        </w:rPr>
        <w:t xml:space="preserve"> </w:t>
      </w:r>
      <w:r w:rsidR="00153F7E" w:rsidRPr="000A30A5">
        <w:rPr>
          <w:rFonts w:ascii="Times New Roman" w:hAnsi="Times New Roman" w:cs="Times New Roman"/>
          <w:sz w:val="24"/>
          <w:szCs w:val="24"/>
        </w:rPr>
        <w:t>(</w:t>
      </w:r>
      <w:r>
        <w:rPr>
          <w:rFonts w:ascii="Times New Roman" w:hAnsi="Times New Roman" w:cs="Times New Roman"/>
          <w:sz w:val="24"/>
          <w:szCs w:val="24"/>
        </w:rPr>
        <w:t>A</w:t>
      </w:r>
      <w:r w:rsidR="00153F7E" w:rsidRPr="000A30A5">
        <w:rPr>
          <w:rFonts w:ascii="Times New Roman" w:hAnsi="Times New Roman" w:cs="Times New Roman"/>
          <w:sz w:val="24"/>
          <w:szCs w:val="24"/>
        </w:rPr>
        <w:t>)</w:t>
      </w:r>
      <w:r w:rsidR="00153F7E" w:rsidRPr="000A30A5">
        <w:rPr>
          <w:rFonts w:ascii="Times New Roman" w:hAnsi="Times New Roman" w:cs="Times New Roman"/>
          <w:b/>
          <w:sz w:val="24"/>
          <w:szCs w:val="24"/>
        </w:rPr>
        <w:t xml:space="preserve"> </w:t>
      </w:r>
      <w:r>
        <w:rPr>
          <w:rFonts w:ascii="Times New Roman" w:hAnsi="Times New Roman" w:cs="Times New Roman"/>
          <w:sz w:val="24"/>
          <w:szCs w:val="24"/>
        </w:rPr>
        <w:t>provides that</w:t>
      </w:r>
      <w:r w:rsidR="00DC4BA4" w:rsidRPr="000A30A5">
        <w:rPr>
          <w:rFonts w:ascii="Times New Roman" w:hAnsi="Times New Roman" w:cs="Times New Roman"/>
          <w:sz w:val="24"/>
          <w:szCs w:val="24"/>
        </w:rPr>
        <w:t xml:space="preserve"> i</w:t>
      </w:r>
      <w:r w:rsidR="00153F7E" w:rsidRPr="000A30A5">
        <w:rPr>
          <w:rFonts w:ascii="Times New Roman" w:hAnsi="Times New Roman" w:cs="Times New Roman"/>
          <w:sz w:val="24"/>
          <w:szCs w:val="24"/>
        </w:rPr>
        <w:t xml:space="preserve">n accordance with </w:t>
      </w:r>
      <w:r w:rsidRPr="000A30A5">
        <w:rPr>
          <w:rFonts w:ascii="Times New Roman" w:hAnsi="Times New Roman" w:cs="Times New Roman"/>
          <w:sz w:val="24"/>
          <w:szCs w:val="24"/>
        </w:rPr>
        <w:t>s</w:t>
      </w:r>
      <w:r w:rsidR="00153F7E" w:rsidRPr="000A30A5">
        <w:rPr>
          <w:rFonts w:ascii="Times New Roman" w:hAnsi="Times New Roman" w:cs="Times New Roman"/>
          <w:sz w:val="24"/>
          <w:szCs w:val="24"/>
        </w:rPr>
        <w:t xml:space="preserve">ection 49 (2) of the Electoral Act, a person intending to vote shall be verified to be the </w:t>
      </w:r>
      <w:r>
        <w:rPr>
          <w:rFonts w:ascii="Times New Roman" w:hAnsi="Times New Roman" w:cs="Times New Roman"/>
          <w:sz w:val="24"/>
          <w:szCs w:val="24"/>
        </w:rPr>
        <w:t>same person on the Register of v</w:t>
      </w:r>
      <w:r w:rsidR="00153F7E" w:rsidRPr="000A30A5">
        <w:rPr>
          <w:rFonts w:ascii="Times New Roman" w:hAnsi="Times New Roman" w:cs="Times New Roman"/>
          <w:sz w:val="24"/>
          <w:szCs w:val="24"/>
        </w:rPr>
        <w:t>oters by use of the Smart Card Reader (SCR) in the manner prescribed in th</w:t>
      </w:r>
      <w:r w:rsidR="00DC4BA4" w:rsidRPr="000A30A5">
        <w:rPr>
          <w:rFonts w:ascii="Times New Roman" w:hAnsi="Times New Roman" w:cs="Times New Roman"/>
          <w:sz w:val="24"/>
          <w:szCs w:val="24"/>
        </w:rPr>
        <w:t>ese Regulations and Guidelines.</w:t>
      </w:r>
      <w:r w:rsidR="00787217" w:rsidRPr="000A30A5">
        <w:rPr>
          <w:rFonts w:ascii="Times New Roman" w:hAnsi="Times New Roman" w:cs="Times New Roman"/>
          <w:sz w:val="24"/>
          <w:szCs w:val="24"/>
        </w:rPr>
        <w:t xml:space="preserve"> </w:t>
      </w:r>
      <w:r w:rsidR="00153F7E" w:rsidRPr="000A30A5">
        <w:rPr>
          <w:rFonts w:ascii="Times New Roman" w:hAnsi="Times New Roman" w:cs="Times New Roman"/>
          <w:sz w:val="24"/>
          <w:szCs w:val="24"/>
        </w:rPr>
        <w:t xml:space="preserve">This provision makes the use of </w:t>
      </w:r>
      <w:r>
        <w:rPr>
          <w:rFonts w:ascii="Times New Roman" w:hAnsi="Times New Roman" w:cs="Times New Roman"/>
          <w:sz w:val="24"/>
          <w:szCs w:val="24"/>
        </w:rPr>
        <w:t>s</w:t>
      </w:r>
      <w:r w:rsidR="00153F7E" w:rsidRPr="000A30A5">
        <w:rPr>
          <w:rFonts w:ascii="Times New Roman" w:hAnsi="Times New Roman" w:cs="Times New Roman"/>
          <w:sz w:val="24"/>
          <w:szCs w:val="24"/>
        </w:rPr>
        <w:t xml:space="preserve">mart </w:t>
      </w:r>
      <w:r>
        <w:rPr>
          <w:rFonts w:ascii="Times New Roman" w:hAnsi="Times New Roman" w:cs="Times New Roman"/>
          <w:sz w:val="24"/>
          <w:szCs w:val="24"/>
        </w:rPr>
        <w:t>c</w:t>
      </w:r>
      <w:r w:rsidR="00153F7E" w:rsidRPr="000A30A5">
        <w:rPr>
          <w:rFonts w:ascii="Times New Roman" w:hAnsi="Times New Roman" w:cs="Times New Roman"/>
          <w:sz w:val="24"/>
          <w:szCs w:val="24"/>
        </w:rPr>
        <w:t xml:space="preserve">ard </w:t>
      </w:r>
      <w:r>
        <w:rPr>
          <w:rFonts w:ascii="Times New Roman" w:hAnsi="Times New Roman" w:cs="Times New Roman"/>
          <w:sz w:val="24"/>
          <w:szCs w:val="24"/>
        </w:rPr>
        <w:t>reader</w:t>
      </w:r>
      <w:r w:rsidR="00153F7E" w:rsidRPr="000A30A5">
        <w:rPr>
          <w:rFonts w:ascii="Times New Roman" w:hAnsi="Times New Roman" w:cs="Times New Roman"/>
          <w:sz w:val="24"/>
          <w:szCs w:val="24"/>
        </w:rPr>
        <w:t xml:space="preserve"> which is an electronic device in the accreditation process </w:t>
      </w:r>
      <w:r>
        <w:rPr>
          <w:rFonts w:ascii="Times New Roman" w:hAnsi="Times New Roman" w:cs="Times New Roman"/>
          <w:sz w:val="24"/>
          <w:szCs w:val="24"/>
        </w:rPr>
        <w:t xml:space="preserve">a </w:t>
      </w:r>
      <w:r w:rsidR="00153F7E" w:rsidRPr="000A30A5">
        <w:rPr>
          <w:rFonts w:ascii="Times New Roman" w:hAnsi="Times New Roman" w:cs="Times New Roman"/>
          <w:sz w:val="24"/>
          <w:szCs w:val="24"/>
        </w:rPr>
        <w:t xml:space="preserve">mandatory </w:t>
      </w:r>
      <w:r>
        <w:rPr>
          <w:rFonts w:ascii="Times New Roman" w:hAnsi="Times New Roman" w:cs="Times New Roman"/>
          <w:sz w:val="24"/>
          <w:szCs w:val="24"/>
        </w:rPr>
        <w:t xml:space="preserve">requirement </w:t>
      </w:r>
      <w:r w:rsidR="00153F7E" w:rsidRPr="000A30A5">
        <w:rPr>
          <w:rFonts w:ascii="Times New Roman" w:hAnsi="Times New Roman" w:cs="Times New Roman"/>
          <w:sz w:val="24"/>
          <w:szCs w:val="24"/>
        </w:rPr>
        <w:t xml:space="preserve">of </w:t>
      </w:r>
      <w:r>
        <w:rPr>
          <w:rFonts w:ascii="Times New Roman" w:hAnsi="Times New Roman" w:cs="Times New Roman"/>
          <w:sz w:val="24"/>
          <w:szCs w:val="24"/>
        </w:rPr>
        <w:lastRenderedPageBreak/>
        <w:t xml:space="preserve">some </w:t>
      </w:r>
      <w:r w:rsidR="00153F7E" w:rsidRPr="000A30A5">
        <w:rPr>
          <w:rFonts w:ascii="Times New Roman" w:hAnsi="Times New Roman" w:cs="Times New Roman"/>
          <w:sz w:val="24"/>
          <w:szCs w:val="24"/>
        </w:rPr>
        <w:t xml:space="preserve">sort. It further provides in </w:t>
      </w:r>
      <w:r>
        <w:rPr>
          <w:rFonts w:ascii="Times New Roman" w:hAnsi="Times New Roman" w:cs="Times New Roman"/>
          <w:sz w:val="24"/>
          <w:szCs w:val="24"/>
        </w:rPr>
        <w:t>c</w:t>
      </w:r>
      <w:r w:rsidR="00153F7E" w:rsidRPr="000A30A5">
        <w:rPr>
          <w:rFonts w:ascii="Times New Roman" w:hAnsi="Times New Roman" w:cs="Times New Roman"/>
          <w:sz w:val="24"/>
          <w:szCs w:val="24"/>
        </w:rPr>
        <w:t>lause 10</w:t>
      </w:r>
      <w:r>
        <w:rPr>
          <w:rFonts w:ascii="Times New Roman" w:hAnsi="Times New Roman" w:cs="Times New Roman"/>
          <w:sz w:val="24"/>
          <w:szCs w:val="24"/>
        </w:rPr>
        <w:t xml:space="preserve"> </w:t>
      </w:r>
      <w:r w:rsidR="00153F7E" w:rsidRPr="000A30A5">
        <w:rPr>
          <w:rFonts w:ascii="Times New Roman" w:hAnsi="Times New Roman" w:cs="Times New Roman"/>
          <w:sz w:val="24"/>
          <w:szCs w:val="24"/>
        </w:rPr>
        <w:t>(b)</w:t>
      </w:r>
      <w:r w:rsidR="00856B4A">
        <w:rPr>
          <w:rStyle w:val="FootnoteReference"/>
          <w:rFonts w:ascii="Times New Roman" w:hAnsi="Times New Roman" w:cs="Times New Roman"/>
          <w:b/>
          <w:i/>
          <w:sz w:val="24"/>
          <w:szCs w:val="24"/>
        </w:rPr>
        <w:footnoteReference w:id="10"/>
      </w:r>
      <w:r w:rsidR="00153F7E" w:rsidRPr="000A30A5">
        <w:rPr>
          <w:rFonts w:ascii="Times New Roman" w:hAnsi="Times New Roman" w:cs="Times New Roman"/>
          <w:sz w:val="24"/>
          <w:szCs w:val="24"/>
        </w:rPr>
        <w:t xml:space="preserve"> that any poll official who violates the provision of Clause 10 (a)</w:t>
      </w:r>
      <w:r w:rsidR="00153F7E" w:rsidRPr="000A30A5">
        <w:rPr>
          <w:vertAlign w:val="superscript"/>
        </w:rPr>
        <w:footnoteReference w:id="11"/>
      </w:r>
      <w:r w:rsidR="00153F7E" w:rsidRPr="000A30A5">
        <w:rPr>
          <w:rFonts w:ascii="Times New Roman" w:hAnsi="Times New Roman" w:cs="Times New Roman"/>
          <w:sz w:val="24"/>
          <w:szCs w:val="24"/>
        </w:rPr>
        <w:t xml:space="preserve"> shall be deemed to be guilty of an offence and shall be liable to prosecution. Clause 10</w:t>
      </w:r>
      <w:r>
        <w:rPr>
          <w:rFonts w:ascii="Times New Roman" w:hAnsi="Times New Roman" w:cs="Times New Roman"/>
          <w:sz w:val="24"/>
          <w:szCs w:val="24"/>
        </w:rPr>
        <w:t xml:space="preserve"> </w:t>
      </w:r>
      <w:r w:rsidR="00153F7E" w:rsidRPr="000A30A5">
        <w:rPr>
          <w:rFonts w:ascii="Times New Roman" w:hAnsi="Times New Roman" w:cs="Times New Roman"/>
          <w:sz w:val="24"/>
          <w:szCs w:val="24"/>
        </w:rPr>
        <w:t>(c)</w:t>
      </w:r>
      <w:r w:rsidR="00153F7E" w:rsidRPr="000A30A5">
        <w:rPr>
          <w:vertAlign w:val="superscript"/>
        </w:rPr>
        <w:footnoteReference w:id="12"/>
      </w:r>
      <w:r w:rsidR="00153F7E" w:rsidRPr="000A30A5">
        <w:rPr>
          <w:rFonts w:ascii="Times New Roman" w:hAnsi="Times New Roman" w:cs="Times New Roman"/>
          <w:sz w:val="24"/>
          <w:szCs w:val="24"/>
        </w:rPr>
        <w:t xml:space="preserve"> </w:t>
      </w:r>
      <w:r w:rsidR="00723D13">
        <w:rPr>
          <w:rFonts w:ascii="Times New Roman" w:hAnsi="Times New Roman" w:cs="Times New Roman"/>
          <w:sz w:val="24"/>
          <w:szCs w:val="24"/>
        </w:rPr>
        <w:t>of the g</w:t>
      </w:r>
      <w:r w:rsidR="00153F7E" w:rsidRPr="000A30A5">
        <w:rPr>
          <w:rFonts w:ascii="Times New Roman" w:hAnsi="Times New Roman" w:cs="Times New Roman"/>
          <w:sz w:val="24"/>
          <w:szCs w:val="24"/>
        </w:rPr>
        <w:t>uideline further provides that accreditation and voting shall commence at 8.00</w:t>
      </w:r>
      <w:r w:rsidR="00723D13">
        <w:rPr>
          <w:rFonts w:ascii="Times New Roman" w:hAnsi="Times New Roman" w:cs="Times New Roman"/>
          <w:sz w:val="24"/>
          <w:szCs w:val="24"/>
        </w:rPr>
        <w:t xml:space="preserve"> </w:t>
      </w:r>
      <w:r w:rsidR="00153F7E" w:rsidRPr="000A30A5">
        <w:rPr>
          <w:rFonts w:ascii="Times New Roman" w:hAnsi="Times New Roman" w:cs="Times New Roman"/>
          <w:sz w:val="24"/>
          <w:szCs w:val="24"/>
        </w:rPr>
        <w:t>am and close at 2:00</w:t>
      </w:r>
      <w:r w:rsidR="00723D13">
        <w:rPr>
          <w:rFonts w:ascii="Times New Roman" w:hAnsi="Times New Roman" w:cs="Times New Roman"/>
          <w:sz w:val="24"/>
          <w:szCs w:val="24"/>
        </w:rPr>
        <w:t xml:space="preserve"> </w:t>
      </w:r>
      <w:r w:rsidR="00153F7E" w:rsidRPr="000A30A5">
        <w:rPr>
          <w:rFonts w:ascii="Times New Roman" w:hAnsi="Times New Roman" w:cs="Times New Roman"/>
          <w:sz w:val="24"/>
          <w:szCs w:val="24"/>
        </w:rPr>
        <w:t>pm, provided that all voters already on the queue by 2:00</w:t>
      </w:r>
      <w:r w:rsidR="00723D13">
        <w:rPr>
          <w:rFonts w:ascii="Times New Roman" w:hAnsi="Times New Roman" w:cs="Times New Roman"/>
          <w:sz w:val="24"/>
          <w:szCs w:val="24"/>
        </w:rPr>
        <w:t xml:space="preserve"> </w:t>
      </w:r>
      <w:r w:rsidR="00153F7E" w:rsidRPr="000A30A5">
        <w:rPr>
          <w:rFonts w:ascii="Times New Roman" w:hAnsi="Times New Roman" w:cs="Times New Roman"/>
          <w:sz w:val="24"/>
          <w:szCs w:val="24"/>
        </w:rPr>
        <w:t>pm shall be allowed for accreditation and voting. These processes</w:t>
      </w:r>
      <w:r w:rsidR="00C25F7A">
        <w:rPr>
          <w:rFonts w:ascii="Times New Roman" w:hAnsi="Times New Roman" w:cs="Times New Roman"/>
          <w:sz w:val="24"/>
          <w:szCs w:val="24"/>
        </w:rPr>
        <w:t xml:space="preserve"> have to be done simultaneously, but u</w:t>
      </w:r>
      <w:r w:rsidR="00153F7E" w:rsidRPr="000A30A5">
        <w:rPr>
          <w:rFonts w:ascii="Times New Roman" w:hAnsi="Times New Roman" w:cs="Times New Roman"/>
          <w:sz w:val="24"/>
          <w:szCs w:val="24"/>
        </w:rPr>
        <w:t xml:space="preserve">nfortunately, the noble interventions </w:t>
      </w:r>
      <w:r w:rsidR="00C25F7A">
        <w:rPr>
          <w:rFonts w:ascii="Times New Roman" w:hAnsi="Times New Roman" w:cs="Times New Roman"/>
          <w:sz w:val="24"/>
          <w:szCs w:val="24"/>
        </w:rPr>
        <w:t>were</w:t>
      </w:r>
      <w:r w:rsidR="00153F7E" w:rsidRPr="000A30A5">
        <w:rPr>
          <w:rFonts w:ascii="Times New Roman" w:hAnsi="Times New Roman" w:cs="Times New Roman"/>
          <w:sz w:val="24"/>
          <w:szCs w:val="24"/>
        </w:rPr>
        <w:t xml:space="preserve"> </w:t>
      </w:r>
      <w:r w:rsidR="00C25F7A">
        <w:rPr>
          <w:rFonts w:ascii="Times New Roman" w:hAnsi="Times New Roman" w:cs="Times New Roman"/>
          <w:sz w:val="24"/>
          <w:szCs w:val="24"/>
        </w:rPr>
        <w:t xml:space="preserve">strictly </w:t>
      </w:r>
      <w:r w:rsidR="00153F7E" w:rsidRPr="000A30A5">
        <w:rPr>
          <w:rFonts w:ascii="Times New Roman" w:hAnsi="Times New Roman" w:cs="Times New Roman"/>
          <w:sz w:val="24"/>
          <w:szCs w:val="24"/>
        </w:rPr>
        <w:t>not adhered to during th</w:t>
      </w:r>
      <w:r w:rsidR="00723D13">
        <w:rPr>
          <w:rFonts w:ascii="Times New Roman" w:hAnsi="Times New Roman" w:cs="Times New Roman"/>
          <w:sz w:val="24"/>
          <w:szCs w:val="24"/>
        </w:rPr>
        <w:t>e conduct of elections</w:t>
      </w:r>
      <w:r w:rsidR="00C25F7A">
        <w:rPr>
          <w:rFonts w:ascii="Times New Roman" w:hAnsi="Times New Roman" w:cs="Times New Roman"/>
          <w:sz w:val="24"/>
          <w:szCs w:val="24"/>
        </w:rPr>
        <w:t xml:space="preserve">. </w:t>
      </w:r>
    </w:p>
    <w:p w:rsidR="005150EF" w:rsidRDefault="005150EF" w:rsidP="00286CE5">
      <w:pPr>
        <w:spacing w:after="0" w:line="480" w:lineRule="auto"/>
        <w:jc w:val="both"/>
        <w:rPr>
          <w:rFonts w:ascii="Times New Roman" w:hAnsi="Times New Roman" w:cs="Times New Roman"/>
          <w:sz w:val="24"/>
          <w:szCs w:val="24"/>
        </w:rPr>
      </w:pPr>
    </w:p>
    <w:p w:rsidR="00074781" w:rsidRDefault="00153F7E" w:rsidP="00286CE5">
      <w:pPr>
        <w:spacing w:after="0" w:line="480" w:lineRule="auto"/>
        <w:jc w:val="both"/>
        <w:rPr>
          <w:rFonts w:ascii="Times New Roman" w:hAnsi="Times New Roman" w:cs="Times New Roman"/>
          <w:sz w:val="24"/>
          <w:szCs w:val="24"/>
        </w:rPr>
      </w:pPr>
      <w:r w:rsidRPr="00153F7E">
        <w:rPr>
          <w:rFonts w:ascii="Times New Roman" w:hAnsi="Times New Roman" w:cs="Times New Roman"/>
          <w:sz w:val="24"/>
          <w:szCs w:val="24"/>
        </w:rPr>
        <w:t xml:space="preserve">Despite the failure or refusal of election officials to adhere to the Electoral Act or Guidelines as the case may be, the </w:t>
      </w:r>
      <w:r w:rsidR="005150EF">
        <w:rPr>
          <w:rFonts w:ascii="Times New Roman" w:hAnsi="Times New Roman" w:cs="Times New Roman"/>
          <w:sz w:val="24"/>
          <w:szCs w:val="24"/>
        </w:rPr>
        <w:t>court</w:t>
      </w:r>
      <w:r w:rsidRPr="00153F7E">
        <w:rPr>
          <w:rFonts w:ascii="Times New Roman" w:hAnsi="Times New Roman" w:cs="Times New Roman"/>
          <w:sz w:val="24"/>
          <w:szCs w:val="24"/>
        </w:rPr>
        <w:t xml:space="preserve"> </w:t>
      </w:r>
      <w:r w:rsidR="005150EF">
        <w:rPr>
          <w:rFonts w:ascii="Times New Roman" w:hAnsi="Times New Roman" w:cs="Times New Roman"/>
          <w:sz w:val="24"/>
          <w:szCs w:val="24"/>
        </w:rPr>
        <w:t>a</w:t>
      </w:r>
      <w:r w:rsidRPr="00153F7E">
        <w:rPr>
          <w:rFonts w:ascii="Times New Roman" w:hAnsi="Times New Roman" w:cs="Times New Roman"/>
          <w:sz w:val="24"/>
          <w:szCs w:val="24"/>
        </w:rPr>
        <w:t>lways interven</w:t>
      </w:r>
      <w:r w:rsidR="005150EF">
        <w:rPr>
          <w:rFonts w:ascii="Times New Roman" w:hAnsi="Times New Roman" w:cs="Times New Roman"/>
          <w:sz w:val="24"/>
          <w:szCs w:val="24"/>
        </w:rPr>
        <w:t>ed</w:t>
      </w:r>
      <w:r w:rsidRPr="00153F7E">
        <w:rPr>
          <w:rFonts w:ascii="Times New Roman" w:hAnsi="Times New Roman" w:cs="Times New Roman"/>
          <w:sz w:val="24"/>
          <w:szCs w:val="24"/>
        </w:rPr>
        <w:t xml:space="preserve"> when matters relating to the provisions of either the Act or the Guidelines are brought before it. </w:t>
      </w:r>
      <w:r w:rsidR="005150EF">
        <w:rPr>
          <w:rFonts w:ascii="Times New Roman" w:hAnsi="Times New Roman" w:cs="Times New Roman"/>
          <w:sz w:val="24"/>
          <w:szCs w:val="24"/>
        </w:rPr>
        <w:t xml:space="preserve">Drawing attention from the above, there is need to demonstrate the intervention </w:t>
      </w:r>
      <w:r w:rsidRPr="00153F7E">
        <w:rPr>
          <w:rFonts w:ascii="Times New Roman" w:hAnsi="Times New Roman" w:cs="Times New Roman"/>
          <w:sz w:val="24"/>
          <w:szCs w:val="24"/>
        </w:rPr>
        <w:t>in two selected cases as regards the use of electronic devices in the conduct of elections, particularly as it relates to the electronic transmission of results.</w:t>
      </w:r>
    </w:p>
    <w:p w:rsidR="005150EF" w:rsidRPr="00532437" w:rsidRDefault="005150EF" w:rsidP="00532437">
      <w:pPr>
        <w:pStyle w:val="ListParagraph"/>
        <w:numPr>
          <w:ilvl w:val="0"/>
          <w:numId w:val="11"/>
        </w:numPr>
        <w:spacing w:line="480" w:lineRule="auto"/>
        <w:ind w:left="360"/>
        <w:jc w:val="both"/>
        <w:rPr>
          <w:rFonts w:ascii="Times New Roman" w:hAnsi="Times New Roman" w:cs="Times New Roman"/>
          <w:sz w:val="24"/>
          <w:szCs w:val="24"/>
        </w:rPr>
      </w:pPr>
      <w:r w:rsidRPr="002B6E3B">
        <w:rPr>
          <w:rFonts w:ascii="Times New Roman" w:hAnsi="Times New Roman" w:cs="Times New Roman"/>
          <w:b/>
          <w:sz w:val="24"/>
          <w:szCs w:val="24"/>
        </w:rPr>
        <w:t>Nature and Scope of Electronic Transmission</w:t>
      </w:r>
    </w:p>
    <w:p w:rsidR="007900DE" w:rsidRDefault="007900DE" w:rsidP="00286CE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Electronic transmission connotes the process of dispatching data through electronic means. Consequently, electronic transmission of data in Nigeria, is the sum total of dispatching electoral data through electronic means. It should be noted that</w:t>
      </w:r>
      <w:r w:rsidRPr="007900DE">
        <w:rPr>
          <w:rFonts w:ascii="Times New Roman" w:hAnsi="Times New Roman" w:cs="Times New Roman"/>
          <w:sz w:val="24"/>
          <w:szCs w:val="24"/>
        </w:rPr>
        <w:t xml:space="preserve"> </w:t>
      </w:r>
      <w:r w:rsidRPr="00257EF9">
        <w:rPr>
          <w:rFonts w:ascii="Times New Roman" w:hAnsi="Times New Roman" w:cs="Times New Roman"/>
          <w:sz w:val="24"/>
          <w:szCs w:val="24"/>
        </w:rPr>
        <w:t xml:space="preserve">the Electoral Act </w:t>
      </w:r>
      <w:r>
        <w:rPr>
          <w:rFonts w:ascii="Times New Roman" w:hAnsi="Times New Roman" w:cs="Times New Roman"/>
          <w:sz w:val="24"/>
          <w:szCs w:val="24"/>
        </w:rPr>
        <w:t xml:space="preserve">in Nigeria introduced </w:t>
      </w:r>
      <w:r w:rsidRPr="00257EF9">
        <w:rPr>
          <w:rFonts w:ascii="Times New Roman" w:hAnsi="Times New Roman" w:cs="Times New Roman"/>
          <w:sz w:val="24"/>
          <w:szCs w:val="24"/>
        </w:rPr>
        <w:t>the use of electronic devices</w:t>
      </w:r>
      <w:r>
        <w:rPr>
          <w:rFonts w:ascii="Times New Roman" w:hAnsi="Times New Roman" w:cs="Times New Roman"/>
          <w:sz w:val="24"/>
          <w:szCs w:val="24"/>
        </w:rPr>
        <w:t xml:space="preserve"> in the conduct</w:t>
      </w:r>
      <w:r w:rsidR="00912BE1">
        <w:rPr>
          <w:rFonts w:ascii="Times New Roman" w:hAnsi="Times New Roman" w:cs="Times New Roman"/>
          <w:sz w:val="24"/>
          <w:szCs w:val="24"/>
        </w:rPr>
        <w:t xml:space="preserve"> and transmission of electoral information. For instance, the power to transmit electoral data is vested in the INEC.</w:t>
      </w:r>
      <w:r w:rsidR="00912BE1">
        <w:rPr>
          <w:rStyle w:val="FootnoteReference"/>
          <w:rFonts w:ascii="Times New Roman" w:hAnsi="Times New Roman" w:cs="Times New Roman"/>
          <w:sz w:val="24"/>
          <w:szCs w:val="24"/>
        </w:rPr>
        <w:footnoteReference w:id="13"/>
      </w:r>
      <w:r w:rsidR="00912BE1">
        <w:rPr>
          <w:rFonts w:ascii="Times New Roman" w:hAnsi="Times New Roman" w:cs="Times New Roman"/>
          <w:sz w:val="24"/>
          <w:szCs w:val="24"/>
        </w:rPr>
        <w:t xml:space="preserve"> </w:t>
      </w:r>
      <w:r w:rsidR="00912BE1">
        <w:rPr>
          <w:rFonts w:ascii="Times New Roman" w:hAnsi="Times New Roman" w:cs="Times New Roman"/>
          <w:sz w:val="24"/>
          <w:szCs w:val="24"/>
          <w:lang w:val="en-US"/>
        </w:rPr>
        <w:t xml:space="preserve">Some of the powers of INEC include the verification of voters on the </w:t>
      </w:r>
      <w:r w:rsidR="00912BE1">
        <w:rPr>
          <w:rFonts w:ascii="Times New Roman" w:hAnsi="Times New Roman" w:cs="Times New Roman"/>
          <w:sz w:val="24"/>
          <w:szCs w:val="24"/>
        </w:rPr>
        <w:t>Register of v</w:t>
      </w:r>
      <w:r w:rsidR="00912BE1" w:rsidRPr="000A30A5">
        <w:rPr>
          <w:rFonts w:ascii="Times New Roman" w:hAnsi="Times New Roman" w:cs="Times New Roman"/>
          <w:sz w:val="24"/>
          <w:szCs w:val="24"/>
        </w:rPr>
        <w:t>oters by use of the Smart Card Reader</w:t>
      </w:r>
      <w:r w:rsidR="00912BE1">
        <w:rPr>
          <w:rStyle w:val="FootnoteReference"/>
          <w:rFonts w:ascii="Times New Roman" w:hAnsi="Times New Roman" w:cs="Times New Roman"/>
          <w:sz w:val="24"/>
          <w:szCs w:val="24"/>
        </w:rPr>
        <w:footnoteReference w:id="14"/>
      </w:r>
      <w:r w:rsidR="00912BE1" w:rsidRPr="000A30A5">
        <w:rPr>
          <w:rFonts w:ascii="Times New Roman" w:hAnsi="Times New Roman" w:cs="Times New Roman"/>
          <w:sz w:val="24"/>
          <w:szCs w:val="24"/>
        </w:rPr>
        <w:t xml:space="preserve"> in the manner prescribed in the Regulations and Guidelines. </w:t>
      </w:r>
      <w:r w:rsidR="00912BE1">
        <w:rPr>
          <w:rFonts w:ascii="Times New Roman" w:hAnsi="Times New Roman" w:cs="Times New Roman"/>
          <w:sz w:val="24"/>
          <w:szCs w:val="24"/>
        </w:rPr>
        <w:t>The s</w:t>
      </w:r>
      <w:r w:rsidR="00912BE1" w:rsidRPr="000A30A5">
        <w:rPr>
          <w:rFonts w:ascii="Times New Roman" w:hAnsi="Times New Roman" w:cs="Times New Roman"/>
          <w:sz w:val="24"/>
          <w:szCs w:val="24"/>
        </w:rPr>
        <w:t xml:space="preserve">mart </w:t>
      </w:r>
      <w:r w:rsidR="00912BE1">
        <w:rPr>
          <w:rFonts w:ascii="Times New Roman" w:hAnsi="Times New Roman" w:cs="Times New Roman"/>
          <w:sz w:val="24"/>
          <w:szCs w:val="24"/>
        </w:rPr>
        <w:t>c</w:t>
      </w:r>
      <w:r w:rsidR="00912BE1" w:rsidRPr="000A30A5">
        <w:rPr>
          <w:rFonts w:ascii="Times New Roman" w:hAnsi="Times New Roman" w:cs="Times New Roman"/>
          <w:sz w:val="24"/>
          <w:szCs w:val="24"/>
        </w:rPr>
        <w:t xml:space="preserve">ard </w:t>
      </w:r>
      <w:r w:rsidR="00912BE1">
        <w:rPr>
          <w:rFonts w:ascii="Times New Roman" w:hAnsi="Times New Roman" w:cs="Times New Roman"/>
          <w:sz w:val="24"/>
          <w:szCs w:val="24"/>
        </w:rPr>
        <w:t>reader</w:t>
      </w:r>
      <w:r w:rsidR="00912BE1" w:rsidRPr="000A30A5">
        <w:rPr>
          <w:rFonts w:ascii="Times New Roman" w:hAnsi="Times New Roman" w:cs="Times New Roman"/>
          <w:sz w:val="24"/>
          <w:szCs w:val="24"/>
        </w:rPr>
        <w:t xml:space="preserve"> is an electronic </w:t>
      </w:r>
      <w:r w:rsidR="00912BE1" w:rsidRPr="000A30A5">
        <w:rPr>
          <w:rFonts w:ascii="Times New Roman" w:hAnsi="Times New Roman" w:cs="Times New Roman"/>
          <w:sz w:val="24"/>
          <w:szCs w:val="24"/>
        </w:rPr>
        <w:lastRenderedPageBreak/>
        <w:t>device</w:t>
      </w:r>
      <w:r w:rsidR="00912BE1">
        <w:rPr>
          <w:rFonts w:ascii="Times New Roman" w:hAnsi="Times New Roman" w:cs="Times New Roman"/>
          <w:sz w:val="24"/>
          <w:szCs w:val="24"/>
        </w:rPr>
        <w:t xml:space="preserve"> and it is recognised</w:t>
      </w:r>
      <w:r w:rsidR="00912BE1" w:rsidRPr="000A30A5">
        <w:rPr>
          <w:rFonts w:ascii="Times New Roman" w:hAnsi="Times New Roman" w:cs="Times New Roman"/>
          <w:sz w:val="24"/>
          <w:szCs w:val="24"/>
        </w:rPr>
        <w:t xml:space="preserve"> in the accreditation process </w:t>
      </w:r>
      <w:r w:rsidR="00912BE1">
        <w:rPr>
          <w:rFonts w:ascii="Times New Roman" w:hAnsi="Times New Roman" w:cs="Times New Roman"/>
          <w:sz w:val="24"/>
          <w:szCs w:val="24"/>
        </w:rPr>
        <w:t xml:space="preserve">as a </w:t>
      </w:r>
      <w:r w:rsidR="00912BE1" w:rsidRPr="000A30A5">
        <w:rPr>
          <w:rFonts w:ascii="Times New Roman" w:hAnsi="Times New Roman" w:cs="Times New Roman"/>
          <w:sz w:val="24"/>
          <w:szCs w:val="24"/>
        </w:rPr>
        <w:t xml:space="preserve">mandatory </w:t>
      </w:r>
      <w:r w:rsidR="00912BE1">
        <w:rPr>
          <w:rFonts w:ascii="Times New Roman" w:hAnsi="Times New Roman" w:cs="Times New Roman"/>
          <w:sz w:val="24"/>
          <w:szCs w:val="24"/>
        </w:rPr>
        <w:t>requirement.</w:t>
      </w:r>
      <w:r w:rsidR="009D08CA">
        <w:rPr>
          <w:rFonts w:ascii="Times New Roman" w:hAnsi="Times New Roman" w:cs="Times New Roman"/>
          <w:sz w:val="24"/>
          <w:szCs w:val="24"/>
        </w:rPr>
        <w:t xml:space="preserve"> It often follows that the legal burden to effect compliance with the provisions of the electoral Act as well as the incidental </w:t>
      </w:r>
      <w:r w:rsidR="00B11B8C">
        <w:rPr>
          <w:rFonts w:ascii="Times New Roman" w:hAnsi="Times New Roman" w:cs="Times New Roman"/>
          <w:sz w:val="24"/>
          <w:szCs w:val="24"/>
        </w:rPr>
        <w:t>regulations and</w:t>
      </w:r>
      <w:r w:rsidR="009D08CA">
        <w:rPr>
          <w:rFonts w:ascii="Times New Roman" w:hAnsi="Times New Roman" w:cs="Times New Roman"/>
          <w:sz w:val="24"/>
          <w:szCs w:val="24"/>
        </w:rPr>
        <w:t xml:space="preserve"> guidelines</w:t>
      </w:r>
      <w:r w:rsidR="00B11B8C">
        <w:rPr>
          <w:rFonts w:ascii="Times New Roman" w:hAnsi="Times New Roman" w:cs="Times New Roman"/>
          <w:sz w:val="24"/>
          <w:szCs w:val="24"/>
        </w:rPr>
        <w:t>, usually fall</w:t>
      </w:r>
      <w:r w:rsidR="009D08CA">
        <w:rPr>
          <w:rFonts w:ascii="Times New Roman" w:hAnsi="Times New Roman" w:cs="Times New Roman"/>
          <w:sz w:val="24"/>
          <w:szCs w:val="24"/>
        </w:rPr>
        <w:t xml:space="preserve"> on the judiciary, especially in cases of infractions and interpretations of the provisions of the Act and incidental regulations and guidelines.</w:t>
      </w:r>
    </w:p>
    <w:p w:rsidR="00B11B8C" w:rsidRDefault="002B6E3B" w:rsidP="00286CE5">
      <w:pPr>
        <w:spacing w:line="480" w:lineRule="auto"/>
        <w:jc w:val="both"/>
        <w:rPr>
          <w:rFonts w:ascii="Times New Roman" w:hAnsi="Times New Roman" w:cs="Times New Roman"/>
          <w:sz w:val="24"/>
          <w:szCs w:val="24"/>
          <w:lang w:val="en-US"/>
        </w:rPr>
      </w:pPr>
      <w:r w:rsidRPr="002B6E3B">
        <w:rPr>
          <w:rFonts w:ascii="Times New Roman" w:hAnsi="Times New Roman" w:cs="Times New Roman"/>
          <w:sz w:val="24"/>
          <w:szCs w:val="24"/>
          <w:lang w:val="en-US"/>
        </w:rPr>
        <w:t>The</w:t>
      </w:r>
      <w:r w:rsidR="009D08CA">
        <w:rPr>
          <w:rFonts w:ascii="Times New Roman" w:hAnsi="Times New Roman" w:cs="Times New Roman"/>
          <w:sz w:val="24"/>
          <w:szCs w:val="24"/>
          <w:lang w:val="en-US"/>
        </w:rPr>
        <w:t>refore, the</w:t>
      </w:r>
      <w:r w:rsidRPr="002B6E3B">
        <w:rPr>
          <w:rFonts w:ascii="Times New Roman" w:hAnsi="Times New Roman" w:cs="Times New Roman"/>
          <w:sz w:val="24"/>
          <w:szCs w:val="24"/>
          <w:lang w:val="en-US"/>
        </w:rPr>
        <w:t xml:space="preserve"> need or otherwise to electronically transmit the results of an election as a matter of compulsion </w:t>
      </w:r>
      <w:r w:rsidR="00802B18">
        <w:rPr>
          <w:rFonts w:ascii="Times New Roman" w:hAnsi="Times New Roman" w:cs="Times New Roman"/>
          <w:sz w:val="24"/>
          <w:szCs w:val="24"/>
          <w:lang w:val="en-US"/>
        </w:rPr>
        <w:t xml:space="preserve">traditionally came within </w:t>
      </w:r>
      <w:r w:rsidR="009D08CA">
        <w:rPr>
          <w:rFonts w:ascii="Times New Roman" w:hAnsi="Times New Roman" w:cs="Times New Roman"/>
          <w:sz w:val="24"/>
          <w:szCs w:val="24"/>
          <w:lang w:val="en-US"/>
        </w:rPr>
        <w:t xml:space="preserve">the radar of the </w:t>
      </w:r>
      <w:r w:rsidR="00802B18">
        <w:rPr>
          <w:rFonts w:ascii="Times New Roman" w:hAnsi="Times New Roman" w:cs="Times New Roman"/>
          <w:sz w:val="24"/>
          <w:szCs w:val="24"/>
          <w:lang w:val="en-US"/>
        </w:rPr>
        <w:t xml:space="preserve">intervention of the </w:t>
      </w:r>
      <w:r w:rsidR="009D08CA">
        <w:rPr>
          <w:rFonts w:ascii="Times New Roman" w:hAnsi="Times New Roman" w:cs="Times New Roman"/>
          <w:sz w:val="24"/>
          <w:szCs w:val="24"/>
          <w:lang w:val="en-US"/>
        </w:rPr>
        <w:t>judiciary, for instance</w:t>
      </w:r>
      <w:r w:rsidR="00A86F8B">
        <w:rPr>
          <w:rFonts w:ascii="Times New Roman" w:hAnsi="Times New Roman" w:cs="Times New Roman"/>
          <w:sz w:val="24"/>
          <w:szCs w:val="24"/>
          <w:lang w:val="en-US"/>
        </w:rPr>
        <w:t>,</w:t>
      </w:r>
      <w:r w:rsidR="009D08CA">
        <w:rPr>
          <w:rFonts w:ascii="Times New Roman" w:hAnsi="Times New Roman" w:cs="Times New Roman"/>
          <w:sz w:val="24"/>
          <w:szCs w:val="24"/>
          <w:lang w:val="en-US"/>
        </w:rPr>
        <w:t xml:space="preserve"> in the consideration and determination of recondite </w:t>
      </w:r>
      <w:r w:rsidRPr="002B6E3B">
        <w:rPr>
          <w:rFonts w:ascii="Times New Roman" w:hAnsi="Times New Roman" w:cs="Times New Roman"/>
          <w:sz w:val="24"/>
          <w:szCs w:val="24"/>
          <w:lang w:val="en-US"/>
        </w:rPr>
        <w:t>issue</w:t>
      </w:r>
      <w:r w:rsidR="009D08CA">
        <w:rPr>
          <w:rFonts w:ascii="Times New Roman" w:hAnsi="Times New Roman" w:cs="Times New Roman"/>
          <w:sz w:val="24"/>
          <w:szCs w:val="24"/>
          <w:lang w:val="en-US"/>
        </w:rPr>
        <w:t>s</w:t>
      </w:r>
      <w:r w:rsidRPr="002B6E3B">
        <w:rPr>
          <w:rFonts w:ascii="Times New Roman" w:hAnsi="Times New Roman" w:cs="Times New Roman"/>
          <w:sz w:val="24"/>
          <w:szCs w:val="24"/>
          <w:lang w:val="en-US"/>
        </w:rPr>
        <w:t xml:space="preserve"> on whether the </w:t>
      </w:r>
      <w:r w:rsidR="009D08CA">
        <w:rPr>
          <w:rFonts w:ascii="Times New Roman" w:hAnsi="Times New Roman" w:cs="Times New Roman"/>
          <w:sz w:val="24"/>
          <w:szCs w:val="24"/>
          <w:lang w:val="en-US"/>
        </w:rPr>
        <w:t>p</w:t>
      </w:r>
      <w:r w:rsidRPr="002B6E3B">
        <w:rPr>
          <w:rFonts w:ascii="Times New Roman" w:hAnsi="Times New Roman" w:cs="Times New Roman"/>
          <w:sz w:val="24"/>
          <w:szCs w:val="24"/>
          <w:lang w:val="en-US"/>
        </w:rPr>
        <w:t xml:space="preserve">residing </w:t>
      </w:r>
      <w:r w:rsidR="009D08CA">
        <w:rPr>
          <w:rFonts w:ascii="Times New Roman" w:hAnsi="Times New Roman" w:cs="Times New Roman"/>
          <w:sz w:val="24"/>
          <w:szCs w:val="24"/>
          <w:lang w:val="en-US"/>
        </w:rPr>
        <w:t>o</w:t>
      </w:r>
      <w:r w:rsidRPr="002B6E3B">
        <w:rPr>
          <w:rFonts w:ascii="Times New Roman" w:hAnsi="Times New Roman" w:cs="Times New Roman"/>
          <w:sz w:val="24"/>
          <w:szCs w:val="24"/>
          <w:lang w:val="en-US"/>
        </w:rPr>
        <w:t xml:space="preserve">fficer in a polling unit must transmit the particulars or number of accredited voters recorded by the BVAS to the INEC data base. </w:t>
      </w:r>
      <w:r w:rsidR="009D08CA">
        <w:rPr>
          <w:rFonts w:ascii="Times New Roman" w:hAnsi="Times New Roman" w:cs="Times New Roman"/>
          <w:sz w:val="24"/>
          <w:szCs w:val="24"/>
          <w:lang w:val="en-US"/>
        </w:rPr>
        <w:t>The c</w:t>
      </w:r>
      <w:r w:rsidRPr="002B6E3B">
        <w:rPr>
          <w:rFonts w:ascii="Times New Roman" w:hAnsi="Times New Roman" w:cs="Times New Roman"/>
          <w:sz w:val="24"/>
          <w:szCs w:val="24"/>
          <w:lang w:val="en-US"/>
        </w:rPr>
        <w:t>ourt</w:t>
      </w:r>
      <w:r w:rsidR="009D08CA">
        <w:rPr>
          <w:rFonts w:ascii="Times New Roman" w:hAnsi="Times New Roman" w:cs="Times New Roman"/>
          <w:sz w:val="24"/>
          <w:szCs w:val="24"/>
          <w:lang w:val="en-US"/>
        </w:rPr>
        <w:t xml:space="preserve"> </w:t>
      </w:r>
      <w:r w:rsidR="00C17A64">
        <w:rPr>
          <w:rFonts w:ascii="Times New Roman" w:hAnsi="Times New Roman" w:cs="Times New Roman"/>
          <w:sz w:val="24"/>
          <w:szCs w:val="24"/>
          <w:lang w:val="en-US"/>
        </w:rPr>
        <w:t>observed</w:t>
      </w:r>
      <w:r w:rsidRPr="002B6E3B">
        <w:rPr>
          <w:rFonts w:ascii="Times New Roman" w:hAnsi="Times New Roman" w:cs="Times New Roman"/>
          <w:sz w:val="24"/>
          <w:szCs w:val="24"/>
          <w:lang w:val="en-US"/>
        </w:rPr>
        <w:t xml:space="preserve"> </w:t>
      </w:r>
      <w:r w:rsidR="009D08CA">
        <w:rPr>
          <w:rFonts w:ascii="Times New Roman" w:hAnsi="Times New Roman" w:cs="Times New Roman"/>
          <w:sz w:val="24"/>
          <w:szCs w:val="24"/>
          <w:lang w:val="en-US"/>
        </w:rPr>
        <w:t>per</w:t>
      </w:r>
      <w:r w:rsidRPr="002B6E3B">
        <w:rPr>
          <w:rFonts w:ascii="Times New Roman" w:hAnsi="Times New Roman" w:cs="Times New Roman"/>
          <w:sz w:val="24"/>
          <w:szCs w:val="24"/>
          <w:lang w:val="en-US"/>
        </w:rPr>
        <w:t xml:space="preserve"> </w:t>
      </w:r>
      <w:r w:rsidRPr="00C17A64">
        <w:rPr>
          <w:rFonts w:ascii="Times New Roman" w:hAnsi="Times New Roman" w:cs="Times New Roman"/>
          <w:sz w:val="24"/>
          <w:szCs w:val="24"/>
          <w:lang w:val="en-US"/>
        </w:rPr>
        <w:t>E</w:t>
      </w:r>
      <w:r w:rsidR="00C17A64">
        <w:rPr>
          <w:rFonts w:ascii="Times New Roman" w:hAnsi="Times New Roman" w:cs="Times New Roman"/>
          <w:sz w:val="24"/>
          <w:szCs w:val="24"/>
          <w:lang w:val="en-US"/>
        </w:rPr>
        <w:t xml:space="preserve">mmanuel </w:t>
      </w:r>
      <w:proofErr w:type="spellStart"/>
      <w:r w:rsidR="00C17A64">
        <w:rPr>
          <w:rFonts w:ascii="Times New Roman" w:hAnsi="Times New Roman" w:cs="Times New Roman"/>
          <w:sz w:val="24"/>
          <w:szCs w:val="24"/>
          <w:lang w:val="en-US"/>
        </w:rPr>
        <w:t>Akomaye</w:t>
      </w:r>
      <w:proofErr w:type="spellEnd"/>
      <w:r w:rsidR="00C17A64">
        <w:rPr>
          <w:rFonts w:ascii="Times New Roman" w:hAnsi="Times New Roman" w:cs="Times New Roman"/>
          <w:sz w:val="24"/>
          <w:szCs w:val="24"/>
          <w:lang w:val="en-US"/>
        </w:rPr>
        <w:t xml:space="preserve"> </w:t>
      </w:r>
      <w:proofErr w:type="spellStart"/>
      <w:r w:rsidR="00C17A64">
        <w:rPr>
          <w:rFonts w:ascii="Times New Roman" w:hAnsi="Times New Roman" w:cs="Times New Roman"/>
          <w:sz w:val="24"/>
          <w:szCs w:val="24"/>
          <w:lang w:val="en-US"/>
        </w:rPr>
        <w:t>Agim</w:t>
      </w:r>
      <w:proofErr w:type="spellEnd"/>
      <w:r w:rsidRPr="00C17A64">
        <w:rPr>
          <w:rFonts w:ascii="Times New Roman" w:hAnsi="Times New Roman" w:cs="Times New Roman"/>
          <w:sz w:val="24"/>
          <w:szCs w:val="24"/>
          <w:lang w:val="en-US"/>
        </w:rPr>
        <w:t>, JSC</w:t>
      </w:r>
      <w:r w:rsidR="00C17A64">
        <w:rPr>
          <w:rFonts w:ascii="Times New Roman" w:hAnsi="Times New Roman" w:cs="Times New Roman"/>
          <w:sz w:val="24"/>
          <w:szCs w:val="24"/>
          <w:lang w:val="en-US"/>
        </w:rPr>
        <w:t xml:space="preserve"> that:  </w:t>
      </w:r>
    </w:p>
    <w:p w:rsidR="002B6E3B" w:rsidRDefault="002B6E3B" w:rsidP="00286CE5">
      <w:pPr>
        <w:spacing w:line="240" w:lineRule="auto"/>
        <w:ind w:left="720" w:right="720"/>
        <w:jc w:val="both"/>
        <w:rPr>
          <w:rFonts w:ascii="Times New Roman" w:hAnsi="Times New Roman" w:cs="Times New Roman"/>
          <w:sz w:val="24"/>
          <w:szCs w:val="24"/>
          <w:lang w:val="en-US"/>
        </w:rPr>
      </w:pPr>
      <w:r w:rsidRPr="00C17A64">
        <w:rPr>
          <w:rFonts w:ascii="Times New Roman" w:hAnsi="Times New Roman" w:cs="Times New Roman"/>
          <w:sz w:val="24"/>
          <w:szCs w:val="24"/>
          <w:lang w:val="en-US"/>
        </w:rPr>
        <w:t xml:space="preserve">There is no part of the Electoral Act or the INEC Regulations and Guidelines for the Conduct of Elections 2022 that requires that the Presiding Officer of the election in a Polling unit transmit the particulars or number of accredited voters recorded by the BVAS to </w:t>
      </w:r>
      <w:r w:rsidR="00C17A64">
        <w:rPr>
          <w:rFonts w:ascii="Times New Roman" w:hAnsi="Times New Roman" w:cs="Times New Roman"/>
          <w:sz w:val="24"/>
          <w:szCs w:val="24"/>
          <w:lang w:val="en-US"/>
        </w:rPr>
        <w:t>the INEC data base or anywhere.</w:t>
      </w:r>
      <w:r w:rsidR="00C17A64">
        <w:rPr>
          <w:rStyle w:val="FootnoteReference"/>
          <w:rFonts w:ascii="Times New Roman" w:hAnsi="Times New Roman" w:cs="Times New Roman"/>
          <w:sz w:val="24"/>
          <w:szCs w:val="24"/>
          <w:lang w:val="en-US"/>
        </w:rPr>
        <w:footnoteReference w:id="15"/>
      </w:r>
    </w:p>
    <w:p w:rsidR="002B6E3B" w:rsidRDefault="00802B18" w:rsidP="00286CE5">
      <w:pPr>
        <w:spacing w:line="480" w:lineRule="auto"/>
        <w:jc w:val="both"/>
        <w:rPr>
          <w:rFonts w:ascii="Times New Roman" w:hAnsi="Times New Roman" w:cs="Times New Roman"/>
          <w:sz w:val="24"/>
          <w:szCs w:val="24"/>
        </w:rPr>
      </w:pPr>
      <w:r w:rsidRPr="00802B18">
        <w:rPr>
          <w:rFonts w:ascii="Times New Roman" w:hAnsi="Times New Roman" w:cs="Times New Roman"/>
          <w:sz w:val="24"/>
          <w:szCs w:val="24"/>
        </w:rPr>
        <w:t xml:space="preserve">The court further observed that </w:t>
      </w:r>
      <w:r w:rsidR="00EE0D29">
        <w:rPr>
          <w:rFonts w:ascii="Times New Roman" w:hAnsi="Times New Roman" w:cs="Times New Roman"/>
          <w:sz w:val="24"/>
          <w:szCs w:val="24"/>
        </w:rPr>
        <w:t>r</w:t>
      </w:r>
      <w:r w:rsidR="002B6E3B" w:rsidRPr="002B6E3B">
        <w:rPr>
          <w:rFonts w:ascii="Times New Roman" w:hAnsi="Times New Roman" w:cs="Times New Roman"/>
          <w:sz w:val="24"/>
          <w:szCs w:val="24"/>
        </w:rPr>
        <w:t xml:space="preserve">egulation 38 of the Regulation provides that </w:t>
      </w:r>
      <w:r w:rsidR="00EE0D29">
        <w:rPr>
          <w:rFonts w:ascii="Times New Roman" w:hAnsi="Times New Roman" w:cs="Times New Roman"/>
          <w:sz w:val="24"/>
          <w:szCs w:val="24"/>
        </w:rPr>
        <w:t>‘o</w:t>
      </w:r>
      <w:r w:rsidR="002B6E3B" w:rsidRPr="002B6E3B">
        <w:rPr>
          <w:rFonts w:ascii="Times New Roman" w:hAnsi="Times New Roman" w:cs="Times New Roman"/>
          <w:sz w:val="24"/>
          <w:szCs w:val="24"/>
        </w:rPr>
        <w:t xml:space="preserve">n completion of all the Polling Unit voting and results procedures, the Presiding Officer shall: (i) Electronically transmit or transfer the result of the Polling Unit, direct to the collation system </w:t>
      </w:r>
      <w:r w:rsidR="00EE0D29">
        <w:rPr>
          <w:rFonts w:ascii="Times New Roman" w:hAnsi="Times New Roman" w:cs="Times New Roman"/>
          <w:sz w:val="24"/>
          <w:szCs w:val="24"/>
        </w:rPr>
        <w:t>as prescribed by the Commission,</w:t>
      </w:r>
      <w:r w:rsidR="002B6E3B" w:rsidRPr="002B6E3B">
        <w:rPr>
          <w:rFonts w:ascii="Times New Roman" w:hAnsi="Times New Roman" w:cs="Times New Roman"/>
          <w:sz w:val="24"/>
          <w:szCs w:val="24"/>
        </w:rPr>
        <w:t xml:space="preserve"> (ii) Use the BVAS to upload a scanned copy of the EC</w:t>
      </w:r>
      <w:r w:rsidR="00EE0D29">
        <w:rPr>
          <w:rFonts w:ascii="Times New Roman" w:hAnsi="Times New Roman" w:cs="Times New Roman"/>
          <w:sz w:val="24"/>
          <w:szCs w:val="24"/>
        </w:rPr>
        <w:t xml:space="preserve"> </w:t>
      </w:r>
      <w:r w:rsidR="002B6E3B" w:rsidRPr="002B6E3B">
        <w:rPr>
          <w:rFonts w:ascii="Times New Roman" w:hAnsi="Times New Roman" w:cs="Times New Roman"/>
          <w:sz w:val="24"/>
          <w:szCs w:val="24"/>
        </w:rPr>
        <w:t>8</w:t>
      </w:r>
      <w:r w:rsidR="00EE0D29">
        <w:rPr>
          <w:rFonts w:ascii="Times New Roman" w:hAnsi="Times New Roman" w:cs="Times New Roman"/>
          <w:sz w:val="24"/>
          <w:szCs w:val="24"/>
        </w:rPr>
        <w:t xml:space="preserve"> </w:t>
      </w:r>
      <w:r w:rsidR="002B6E3B" w:rsidRPr="002B6E3B">
        <w:rPr>
          <w:rFonts w:ascii="Times New Roman" w:hAnsi="Times New Roman" w:cs="Times New Roman"/>
          <w:sz w:val="24"/>
          <w:szCs w:val="24"/>
        </w:rPr>
        <w:t>A to the IN</w:t>
      </w:r>
      <w:r w:rsidR="00EE0D29">
        <w:rPr>
          <w:rFonts w:ascii="Times New Roman" w:hAnsi="Times New Roman" w:cs="Times New Roman"/>
          <w:sz w:val="24"/>
          <w:szCs w:val="24"/>
        </w:rPr>
        <w:t>EC Result Viewing Portal (</w:t>
      </w:r>
      <w:proofErr w:type="spellStart"/>
      <w:r w:rsidR="00EE0D29">
        <w:rPr>
          <w:rFonts w:ascii="Times New Roman" w:hAnsi="Times New Roman" w:cs="Times New Roman"/>
          <w:sz w:val="24"/>
          <w:szCs w:val="24"/>
        </w:rPr>
        <w:t>IReV</w:t>
      </w:r>
      <w:proofErr w:type="spellEnd"/>
      <w:r w:rsidR="00EE0D29">
        <w:rPr>
          <w:rFonts w:ascii="Times New Roman" w:hAnsi="Times New Roman" w:cs="Times New Roman"/>
          <w:sz w:val="24"/>
          <w:szCs w:val="24"/>
        </w:rPr>
        <w:t>)</w:t>
      </w:r>
      <w:r w:rsidR="002B6E3B" w:rsidRPr="002B6E3B">
        <w:rPr>
          <w:rFonts w:ascii="Times New Roman" w:hAnsi="Times New Roman" w:cs="Times New Roman"/>
          <w:sz w:val="24"/>
          <w:szCs w:val="24"/>
        </w:rPr>
        <w:t xml:space="preserve"> as prescribed by the Commis</w:t>
      </w:r>
      <w:r w:rsidR="00EE0D29">
        <w:rPr>
          <w:rFonts w:ascii="Times New Roman" w:hAnsi="Times New Roman" w:cs="Times New Roman"/>
          <w:sz w:val="24"/>
          <w:szCs w:val="24"/>
        </w:rPr>
        <w:t>sion, and</w:t>
      </w:r>
      <w:r w:rsidR="002B6E3B" w:rsidRPr="002B6E3B">
        <w:rPr>
          <w:rFonts w:ascii="Times New Roman" w:hAnsi="Times New Roman" w:cs="Times New Roman"/>
          <w:sz w:val="24"/>
          <w:szCs w:val="24"/>
        </w:rPr>
        <w:t xml:space="preserve"> (iii) Take the BVAS and the original copy of each of the forms in tamper evident env</w:t>
      </w:r>
      <w:r w:rsidR="00EE0D29">
        <w:rPr>
          <w:rFonts w:ascii="Times New Roman" w:hAnsi="Times New Roman" w:cs="Times New Roman"/>
          <w:sz w:val="24"/>
          <w:szCs w:val="24"/>
        </w:rPr>
        <w:t>elope to the Registration Area/Ward Collation Officer</w:t>
      </w:r>
      <w:r w:rsidR="002B6E3B" w:rsidRPr="002B6E3B">
        <w:rPr>
          <w:rFonts w:ascii="Times New Roman" w:hAnsi="Times New Roman" w:cs="Times New Roman"/>
          <w:sz w:val="24"/>
          <w:szCs w:val="24"/>
        </w:rPr>
        <w:t xml:space="preserve"> in the company of Security Agents. The Polling Agents may accompany the Presiding Officer to the RA/Ward Collation Centre.</w:t>
      </w:r>
      <w:r>
        <w:rPr>
          <w:rStyle w:val="FootnoteReference"/>
          <w:rFonts w:ascii="Times New Roman" w:hAnsi="Times New Roman" w:cs="Times New Roman"/>
          <w:sz w:val="24"/>
          <w:szCs w:val="24"/>
        </w:rPr>
        <w:footnoteReference w:id="16"/>
      </w:r>
    </w:p>
    <w:p w:rsidR="00047BFF" w:rsidRDefault="00047BFF" w:rsidP="00286CE5">
      <w:pPr>
        <w:pStyle w:val="ListParagraph"/>
        <w:numPr>
          <w:ilvl w:val="0"/>
          <w:numId w:val="11"/>
        </w:numPr>
        <w:spacing w:line="240" w:lineRule="auto"/>
        <w:jc w:val="both"/>
        <w:rPr>
          <w:rFonts w:ascii="Times New Roman" w:hAnsi="Times New Roman" w:cs="Times New Roman"/>
          <w:b/>
          <w:sz w:val="24"/>
          <w:szCs w:val="24"/>
        </w:rPr>
      </w:pPr>
      <w:r w:rsidRPr="00047BFF">
        <w:rPr>
          <w:rFonts w:ascii="Times New Roman" w:hAnsi="Times New Roman" w:cs="Times New Roman"/>
          <w:b/>
          <w:sz w:val="24"/>
          <w:szCs w:val="24"/>
        </w:rPr>
        <w:lastRenderedPageBreak/>
        <w:t xml:space="preserve">Forms </w:t>
      </w:r>
      <w:r w:rsidR="00A54D12">
        <w:rPr>
          <w:rFonts w:ascii="Times New Roman" w:hAnsi="Times New Roman" w:cs="Times New Roman"/>
          <w:b/>
          <w:sz w:val="24"/>
          <w:szCs w:val="24"/>
        </w:rPr>
        <w:t>of E</w:t>
      </w:r>
      <w:r w:rsidRPr="00047BFF">
        <w:rPr>
          <w:rFonts w:ascii="Times New Roman" w:hAnsi="Times New Roman" w:cs="Times New Roman"/>
          <w:b/>
          <w:sz w:val="24"/>
          <w:szCs w:val="24"/>
        </w:rPr>
        <w:t xml:space="preserve">lectronic transmission and </w:t>
      </w:r>
      <w:r w:rsidR="00A54D12">
        <w:rPr>
          <w:rFonts w:ascii="Times New Roman" w:hAnsi="Times New Roman" w:cs="Times New Roman"/>
          <w:b/>
          <w:sz w:val="24"/>
          <w:szCs w:val="24"/>
        </w:rPr>
        <w:t>A</w:t>
      </w:r>
      <w:r w:rsidRPr="00047BFF">
        <w:rPr>
          <w:rFonts w:ascii="Times New Roman" w:hAnsi="Times New Roman" w:cs="Times New Roman"/>
          <w:b/>
          <w:sz w:val="24"/>
          <w:szCs w:val="24"/>
        </w:rPr>
        <w:t xml:space="preserve">pplications in </w:t>
      </w:r>
      <w:r w:rsidR="00A54D12">
        <w:rPr>
          <w:rFonts w:ascii="Times New Roman" w:hAnsi="Times New Roman" w:cs="Times New Roman"/>
          <w:b/>
          <w:sz w:val="24"/>
          <w:szCs w:val="24"/>
        </w:rPr>
        <w:t xml:space="preserve">Electoral matters in </w:t>
      </w:r>
      <w:r w:rsidRPr="00047BFF">
        <w:rPr>
          <w:rFonts w:ascii="Times New Roman" w:hAnsi="Times New Roman" w:cs="Times New Roman"/>
          <w:b/>
          <w:sz w:val="24"/>
          <w:szCs w:val="24"/>
        </w:rPr>
        <w:t>Nigeria</w:t>
      </w:r>
    </w:p>
    <w:p w:rsidR="00532437" w:rsidRDefault="00532437" w:rsidP="00532437">
      <w:pPr>
        <w:pStyle w:val="ListParagraph"/>
        <w:spacing w:line="240" w:lineRule="auto"/>
        <w:jc w:val="both"/>
        <w:rPr>
          <w:rFonts w:ascii="Times New Roman" w:hAnsi="Times New Roman" w:cs="Times New Roman"/>
          <w:b/>
          <w:sz w:val="24"/>
          <w:szCs w:val="24"/>
        </w:rPr>
      </w:pPr>
    </w:p>
    <w:p w:rsidR="00CA2A42" w:rsidRPr="00A54D12" w:rsidRDefault="00CA2A42" w:rsidP="00286CE5">
      <w:pPr>
        <w:pStyle w:val="ListParagraph"/>
        <w:numPr>
          <w:ilvl w:val="0"/>
          <w:numId w:val="21"/>
        </w:numPr>
        <w:spacing w:line="480" w:lineRule="auto"/>
        <w:jc w:val="both"/>
        <w:rPr>
          <w:rFonts w:ascii="Times New Roman" w:hAnsi="Times New Roman" w:cs="Times New Roman"/>
          <w:i/>
          <w:sz w:val="24"/>
          <w:szCs w:val="24"/>
        </w:rPr>
      </w:pPr>
      <w:r w:rsidRPr="00A54D12">
        <w:rPr>
          <w:rFonts w:ascii="Times New Roman" w:hAnsi="Times New Roman" w:cs="Times New Roman"/>
          <w:sz w:val="24"/>
          <w:szCs w:val="24"/>
        </w:rPr>
        <w:t xml:space="preserve">INEC </w:t>
      </w:r>
      <w:r w:rsidR="003D58D9" w:rsidRPr="00A54D12">
        <w:rPr>
          <w:rFonts w:ascii="Times New Roman" w:hAnsi="Times New Roman" w:cs="Times New Roman"/>
          <w:sz w:val="24"/>
          <w:szCs w:val="24"/>
        </w:rPr>
        <w:t>data base and back-end server</w:t>
      </w:r>
    </w:p>
    <w:p w:rsidR="00153F7E" w:rsidRPr="00CA2A42" w:rsidRDefault="00A54D12" w:rsidP="00286CE5">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The issue </w:t>
      </w:r>
      <w:r w:rsidR="00153F7E" w:rsidRPr="00CA2A42">
        <w:rPr>
          <w:rFonts w:ascii="Times New Roman" w:hAnsi="Times New Roman" w:cs="Times New Roman"/>
          <w:sz w:val="24"/>
          <w:szCs w:val="24"/>
        </w:rPr>
        <w:t>whether INEC data base or back-end server is a record of accredited voters or a pa</w:t>
      </w:r>
      <w:r w:rsidR="00BD44C6" w:rsidRPr="00CA2A42">
        <w:rPr>
          <w:rFonts w:ascii="Times New Roman" w:hAnsi="Times New Roman" w:cs="Times New Roman"/>
          <w:sz w:val="24"/>
          <w:szCs w:val="24"/>
        </w:rPr>
        <w:t>rt of the accreditation process</w:t>
      </w:r>
      <w:r>
        <w:rPr>
          <w:rFonts w:ascii="Times New Roman" w:hAnsi="Times New Roman" w:cs="Times New Roman"/>
          <w:sz w:val="24"/>
          <w:szCs w:val="24"/>
        </w:rPr>
        <w:t xml:space="preserve"> in electoral matters in Nigeria is paramount.</w:t>
      </w:r>
      <w:r w:rsidR="00153F7E" w:rsidRPr="00CA2A42">
        <w:rPr>
          <w:rFonts w:ascii="Times New Roman" w:hAnsi="Times New Roman" w:cs="Times New Roman"/>
          <w:sz w:val="24"/>
          <w:szCs w:val="24"/>
        </w:rPr>
        <w:t xml:space="preserve"> </w:t>
      </w:r>
      <w:r w:rsidRPr="00CA2A42">
        <w:rPr>
          <w:rFonts w:ascii="Times New Roman" w:hAnsi="Times New Roman" w:cs="Times New Roman"/>
          <w:sz w:val="24"/>
          <w:szCs w:val="24"/>
        </w:rPr>
        <w:t>T</w:t>
      </w:r>
      <w:r w:rsidR="00F77660" w:rsidRPr="00CA2A42">
        <w:rPr>
          <w:rFonts w:ascii="Times New Roman" w:hAnsi="Times New Roman" w:cs="Times New Roman"/>
          <w:sz w:val="24"/>
          <w:szCs w:val="24"/>
        </w:rPr>
        <w:t>he</w:t>
      </w:r>
      <w:r>
        <w:rPr>
          <w:rFonts w:ascii="Times New Roman" w:hAnsi="Times New Roman" w:cs="Times New Roman"/>
          <w:sz w:val="24"/>
          <w:szCs w:val="24"/>
        </w:rPr>
        <w:t xml:space="preserve"> c</w:t>
      </w:r>
      <w:r w:rsidR="00F77660" w:rsidRPr="00CA2A42">
        <w:rPr>
          <w:rFonts w:ascii="Times New Roman" w:hAnsi="Times New Roman" w:cs="Times New Roman"/>
          <w:sz w:val="24"/>
          <w:szCs w:val="24"/>
        </w:rPr>
        <w:t xml:space="preserve">ourt </w:t>
      </w:r>
      <w:r>
        <w:rPr>
          <w:rFonts w:ascii="Times New Roman" w:hAnsi="Times New Roman" w:cs="Times New Roman"/>
          <w:sz w:val="24"/>
          <w:szCs w:val="24"/>
        </w:rPr>
        <w:t>has held that</w:t>
      </w:r>
      <w:r w:rsidR="007063F2">
        <w:rPr>
          <w:rFonts w:ascii="Times New Roman" w:hAnsi="Times New Roman" w:cs="Times New Roman"/>
          <w:sz w:val="24"/>
          <w:szCs w:val="24"/>
        </w:rPr>
        <w:t xml:space="preserve"> </w:t>
      </w:r>
      <w:r w:rsidR="00F857AC" w:rsidRPr="00CA2A42">
        <w:rPr>
          <w:rFonts w:ascii="Times New Roman" w:hAnsi="Times New Roman" w:cs="Times New Roman"/>
          <w:sz w:val="24"/>
          <w:szCs w:val="24"/>
        </w:rPr>
        <w:t>t</w:t>
      </w:r>
      <w:r w:rsidR="00153F7E" w:rsidRPr="00CA2A42">
        <w:rPr>
          <w:rFonts w:ascii="Times New Roman" w:hAnsi="Times New Roman" w:cs="Times New Roman"/>
          <w:sz w:val="24"/>
          <w:szCs w:val="24"/>
        </w:rPr>
        <w:t>here is no part of the Electoral Act or the INEC Regulations and Guidelines for the Conduct of Elections 2022 that makes INEC data base or back end server a part of the accreditation process or record of accredited voter</w:t>
      </w:r>
      <w:r w:rsidR="00F857AC" w:rsidRPr="00CA2A42">
        <w:rPr>
          <w:rFonts w:ascii="Times New Roman" w:hAnsi="Times New Roman" w:cs="Times New Roman"/>
          <w:sz w:val="24"/>
          <w:szCs w:val="24"/>
        </w:rPr>
        <w:t>s.</w:t>
      </w:r>
      <w:r>
        <w:rPr>
          <w:rStyle w:val="FootnoteReference"/>
          <w:rFonts w:ascii="Times New Roman" w:hAnsi="Times New Roman" w:cs="Times New Roman"/>
          <w:sz w:val="24"/>
          <w:szCs w:val="24"/>
        </w:rPr>
        <w:footnoteReference w:id="17"/>
      </w:r>
      <w:r w:rsidR="00F857AC" w:rsidRPr="00CA2A42">
        <w:rPr>
          <w:rFonts w:ascii="Times New Roman" w:hAnsi="Times New Roman" w:cs="Times New Roman"/>
          <w:sz w:val="24"/>
          <w:szCs w:val="24"/>
        </w:rPr>
        <w:t xml:space="preserve"> The INEC data base is a post-</w:t>
      </w:r>
      <w:r w:rsidR="00153F7E" w:rsidRPr="00CA2A42">
        <w:rPr>
          <w:rFonts w:ascii="Times New Roman" w:hAnsi="Times New Roman" w:cs="Times New Roman"/>
          <w:sz w:val="24"/>
          <w:szCs w:val="24"/>
        </w:rPr>
        <w:t>election record created b</w:t>
      </w:r>
      <w:r w:rsidR="007E6679" w:rsidRPr="00CA2A42">
        <w:rPr>
          <w:rFonts w:ascii="Times New Roman" w:hAnsi="Times New Roman" w:cs="Times New Roman"/>
          <w:sz w:val="24"/>
          <w:szCs w:val="24"/>
        </w:rPr>
        <w:t>y S.62 of the Electoral Act</w:t>
      </w:r>
      <w:r w:rsidR="00153F7E" w:rsidRPr="00CA2A42">
        <w:rPr>
          <w:rFonts w:ascii="Times New Roman" w:hAnsi="Times New Roman" w:cs="Times New Roman"/>
          <w:sz w:val="24"/>
          <w:szCs w:val="24"/>
        </w:rPr>
        <w:t xml:space="preserve"> and named therein as the National Election Register of Election Results for the purpose of keeping reliable and verifiable records of past election resul</w:t>
      </w:r>
      <w:r w:rsidR="00BD4F91" w:rsidRPr="00CA2A42">
        <w:rPr>
          <w:rFonts w:ascii="Times New Roman" w:hAnsi="Times New Roman" w:cs="Times New Roman"/>
          <w:sz w:val="24"/>
          <w:szCs w:val="24"/>
        </w:rPr>
        <w:t>ts polling unit by polling unit</w:t>
      </w:r>
      <w:r w:rsidR="00C07218" w:rsidRPr="00CA2A42">
        <w:rPr>
          <w:rFonts w:ascii="Times New Roman" w:hAnsi="Times New Roman" w:cs="Times New Roman"/>
          <w:sz w:val="24"/>
          <w:szCs w:val="24"/>
        </w:rPr>
        <w:t>.</w:t>
      </w:r>
    </w:p>
    <w:p w:rsidR="00CA2A42" w:rsidRPr="00286CE5" w:rsidRDefault="00286CE5" w:rsidP="00286CE5">
      <w:pPr>
        <w:pStyle w:val="ListParagraph"/>
        <w:numPr>
          <w:ilvl w:val="0"/>
          <w:numId w:val="21"/>
        </w:numPr>
        <w:spacing w:line="480" w:lineRule="auto"/>
        <w:jc w:val="both"/>
        <w:rPr>
          <w:rFonts w:ascii="Times New Roman" w:hAnsi="Times New Roman" w:cs="Times New Roman"/>
          <w:b/>
          <w:sz w:val="24"/>
          <w:szCs w:val="24"/>
        </w:rPr>
      </w:pPr>
      <w:r w:rsidRPr="00286CE5">
        <w:rPr>
          <w:rFonts w:ascii="Times New Roman" w:hAnsi="Times New Roman" w:cs="Times New Roman"/>
          <w:b/>
          <w:sz w:val="24"/>
          <w:szCs w:val="24"/>
        </w:rPr>
        <w:t>P</w:t>
      </w:r>
      <w:r w:rsidR="00CA2A42" w:rsidRPr="00286CE5">
        <w:rPr>
          <w:rFonts w:ascii="Times New Roman" w:hAnsi="Times New Roman" w:cs="Times New Roman"/>
          <w:b/>
          <w:sz w:val="24"/>
          <w:szCs w:val="24"/>
        </w:rPr>
        <w:t>ro</w:t>
      </w:r>
      <w:r>
        <w:rPr>
          <w:rFonts w:ascii="Times New Roman" w:hAnsi="Times New Roman" w:cs="Times New Roman"/>
          <w:b/>
          <w:sz w:val="24"/>
          <w:szCs w:val="24"/>
        </w:rPr>
        <w:t>of of</w:t>
      </w:r>
      <w:r w:rsidR="00CA2A42" w:rsidRPr="00286CE5">
        <w:rPr>
          <w:rFonts w:ascii="Times New Roman" w:hAnsi="Times New Roman" w:cs="Times New Roman"/>
          <w:b/>
          <w:sz w:val="24"/>
          <w:szCs w:val="24"/>
        </w:rPr>
        <w:t xml:space="preserve"> allegations of non-accreditation/improper accreditation</w:t>
      </w:r>
    </w:p>
    <w:p w:rsidR="00153F7E" w:rsidRPr="00286CE5" w:rsidRDefault="00286CE5" w:rsidP="00286C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is </w:t>
      </w:r>
      <w:proofErr w:type="gramStart"/>
      <w:r>
        <w:rPr>
          <w:rFonts w:ascii="Times New Roman" w:hAnsi="Times New Roman" w:cs="Times New Roman"/>
          <w:sz w:val="24"/>
          <w:szCs w:val="24"/>
        </w:rPr>
        <w:t>need</w:t>
      </w:r>
      <w:proofErr w:type="gramEnd"/>
      <w:r>
        <w:rPr>
          <w:rFonts w:ascii="Times New Roman" w:hAnsi="Times New Roman" w:cs="Times New Roman"/>
          <w:sz w:val="24"/>
          <w:szCs w:val="24"/>
        </w:rPr>
        <w:t xml:space="preserve"> to prove allegations of non-accreditation and/or improper accreditation. In this regard, there is a specific quality of evidence </w:t>
      </w:r>
      <w:r w:rsidR="00153F7E" w:rsidRPr="00286CE5">
        <w:rPr>
          <w:rFonts w:ascii="Times New Roman" w:hAnsi="Times New Roman" w:cs="Times New Roman"/>
          <w:sz w:val="24"/>
          <w:szCs w:val="24"/>
        </w:rPr>
        <w:t>of non-accreditation/improper accreditation/over voting under the Electoral Act, 2022</w:t>
      </w:r>
      <w:r>
        <w:rPr>
          <w:rFonts w:ascii="Times New Roman" w:hAnsi="Times New Roman" w:cs="Times New Roman"/>
          <w:sz w:val="24"/>
          <w:szCs w:val="24"/>
        </w:rPr>
        <w:t>, to wit:</w:t>
      </w:r>
    </w:p>
    <w:p w:rsidR="00286CE5" w:rsidRDefault="00286CE5" w:rsidP="00286CE5">
      <w:pPr>
        <w:spacing w:line="240" w:lineRule="auto"/>
        <w:ind w:left="850" w:right="850"/>
        <w:jc w:val="both"/>
        <w:rPr>
          <w:rFonts w:ascii="Times New Roman" w:hAnsi="Times New Roman" w:cs="Times New Roman"/>
          <w:sz w:val="24"/>
          <w:szCs w:val="24"/>
        </w:rPr>
      </w:pPr>
      <w:r>
        <w:rPr>
          <w:rFonts w:ascii="Times New Roman" w:hAnsi="Times New Roman" w:cs="Times New Roman"/>
          <w:sz w:val="24"/>
          <w:szCs w:val="24"/>
        </w:rPr>
        <w:t>…</w:t>
      </w:r>
      <w:r w:rsidR="00153F7E" w:rsidRPr="00286CE5">
        <w:rPr>
          <w:rFonts w:ascii="Times New Roman" w:hAnsi="Times New Roman" w:cs="Times New Roman"/>
          <w:sz w:val="24"/>
          <w:szCs w:val="24"/>
        </w:rPr>
        <w:t xml:space="preserve">the evidence required to prove that voting was allowed without accreditation or that there was </w:t>
      </w:r>
      <w:r>
        <w:rPr>
          <w:rFonts w:ascii="Times New Roman" w:hAnsi="Times New Roman" w:cs="Times New Roman"/>
          <w:sz w:val="24"/>
          <w:szCs w:val="24"/>
        </w:rPr>
        <w:t>improper accreditation are the r</w:t>
      </w:r>
      <w:r w:rsidR="00153F7E" w:rsidRPr="00286CE5">
        <w:rPr>
          <w:rFonts w:ascii="Times New Roman" w:hAnsi="Times New Roman" w:cs="Times New Roman"/>
          <w:sz w:val="24"/>
          <w:szCs w:val="24"/>
        </w:rPr>
        <w:t xml:space="preserve">egister of </w:t>
      </w:r>
      <w:r>
        <w:rPr>
          <w:rFonts w:ascii="Times New Roman" w:hAnsi="Times New Roman" w:cs="Times New Roman"/>
          <w:sz w:val="24"/>
          <w:szCs w:val="24"/>
        </w:rPr>
        <w:t>voters, BVAS and the p</w:t>
      </w:r>
      <w:r w:rsidR="00153F7E" w:rsidRPr="00286CE5">
        <w:rPr>
          <w:rFonts w:ascii="Times New Roman" w:hAnsi="Times New Roman" w:cs="Times New Roman"/>
          <w:sz w:val="24"/>
          <w:szCs w:val="24"/>
        </w:rPr>
        <w:t xml:space="preserve">olling </w:t>
      </w:r>
      <w:r>
        <w:rPr>
          <w:rFonts w:ascii="Times New Roman" w:hAnsi="Times New Roman" w:cs="Times New Roman"/>
          <w:sz w:val="24"/>
          <w:szCs w:val="24"/>
        </w:rPr>
        <w:t>u</w:t>
      </w:r>
      <w:r w:rsidR="00153F7E" w:rsidRPr="00286CE5">
        <w:rPr>
          <w:rFonts w:ascii="Times New Roman" w:hAnsi="Times New Roman" w:cs="Times New Roman"/>
          <w:sz w:val="24"/>
          <w:szCs w:val="24"/>
        </w:rPr>
        <w:t>nit result in Form EC8A and that the evidence required to prove that there was over</w:t>
      </w:r>
      <w:r>
        <w:rPr>
          <w:rFonts w:ascii="Times New Roman" w:hAnsi="Times New Roman" w:cs="Times New Roman"/>
          <w:sz w:val="24"/>
          <w:szCs w:val="24"/>
        </w:rPr>
        <w:t>-</w:t>
      </w:r>
      <w:r w:rsidR="00153F7E" w:rsidRPr="00286CE5">
        <w:rPr>
          <w:rFonts w:ascii="Times New Roman" w:hAnsi="Times New Roman" w:cs="Times New Roman"/>
          <w:sz w:val="24"/>
          <w:szCs w:val="24"/>
        </w:rPr>
        <w:t>voting are the record of accredited voters in the BVAS and the Polling Unit result in Form EC8A.</w:t>
      </w:r>
      <w:r w:rsidR="00B15981">
        <w:rPr>
          <w:rStyle w:val="FootnoteReference"/>
          <w:rFonts w:ascii="Times New Roman" w:hAnsi="Times New Roman" w:cs="Times New Roman"/>
          <w:sz w:val="24"/>
          <w:szCs w:val="24"/>
        </w:rPr>
        <w:footnoteReference w:id="18"/>
      </w:r>
    </w:p>
    <w:p w:rsidR="00B15981" w:rsidRPr="00532437" w:rsidRDefault="00B15981" w:rsidP="00286CE5">
      <w:pPr>
        <w:spacing w:line="240" w:lineRule="auto"/>
        <w:ind w:left="850" w:right="850"/>
        <w:jc w:val="both"/>
        <w:rPr>
          <w:rFonts w:ascii="Times New Roman" w:hAnsi="Times New Roman" w:cs="Times New Roman"/>
          <w:b/>
          <w:sz w:val="24"/>
          <w:szCs w:val="24"/>
        </w:rPr>
      </w:pPr>
    </w:p>
    <w:p w:rsidR="007D28CA" w:rsidRPr="00B15981" w:rsidRDefault="007D28CA" w:rsidP="00B15981">
      <w:pPr>
        <w:pStyle w:val="ListParagraph"/>
        <w:numPr>
          <w:ilvl w:val="0"/>
          <w:numId w:val="21"/>
        </w:numPr>
        <w:spacing w:line="480" w:lineRule="auto"/>
        <w:jc w:val="both"/>
        <w:rPr>
          <w:rFonts w:ascii="Times New Roman" w:hAnsi="Times New Roman" w:cs="Times New Roman"/>
          <w:i/>
          <w:sz w:val="24"/>
          <w:szCs w:val="24"/>
        </w:rPr>
      </w:pPr>
      <w:r w:rsidRPr="00532437">
        <w:rPr>
          <w:rFonts w:ascii="Times New Roman" w:hAnsi="Times New Roman" w:cs="Times New Roman"/>
          <w:b/>
          <w:sz w:val="24"/>
          <w:szCs w:val="24"/>
        </w:rPr>
        <w:t xml:space="preserve">The </w:t>
      </w:r>
      <w:r w:rsidR="00B15981" w:rsidRPr="00532437">
        <w:rPr>
          <w:rFonts w:ascii="Times New Roman" w:hAnsi="Times New Roman" w:cs="Times New Roman"/>
          <w:b/>
          <w:sz w:val="24"/>
          <w:szCs w:val="24"/>
        </w:rPr>
        <w:t>P</w:t>
      </w:r>
      <w:r w:rsidRPr="00532437">
        <w:rPr>
          <w:rFonts w:ascii="Times New Roman" w:hAnsi="Times New Roman" w:cs="Times New Roman"/>
          <w:b/>
          <w:sz w:val="24"/>
          <w:szCs w:val="24"/>
        </w:rPr>
        <w:t>roof of record of accreditation</w:t>
      </w:r>
    </w:p>
    <w:p w:rsidR="00153F7E" w:rsidRPr="00532437" w:rsidRDefault="00B15981" w:rsidP="00532437">
      <w:pPr>
        <w:spacing w:line="480" w:lineRule="auto"/>
        <w:jc w:val="both"/>
        <w:rPr>
          <w:rFonts w:ascii="Times New Roman" w:hAnsi="Times New Roman" w:cs="Times New Roman"/>
          <w:i/>
          <w:sz w:val="24"/>
          <w:szCs w:val="24"/>
        </w:rPr>
      </w:pPr>
      <w:r w:rsidRPr="00532437">
        <w:rPr>
          <w:rFonts w:ascii="Times New Roman" w:hAnsi="Times New Roman" w:cs="Times New Roman"/>
          <w:sz w:val="24"/>
          <w:szCs w:val="24"/>
          <w:lang w:val="en-US"/>
        </w:rPr>
        <w:t xml:space="preserve">It has been argued </w:t>
      </w:r>
      <w:r w:rsidR="00153F7E" w:rsidRPr="00532437">
        <w:rPr>
          <w:rFonts w:ascii="Times New Roman" w:hAnsi="Times New Roman" w:cs="Times New Roman"/>
          <w:sz w:val="24"/>
          <w:szCs w:val="24"/>
          <w:lang w:val="en-US"/>
        </w:rPr>
        <w:t>whether BVAS machine(s) must be produced to pr</w:t>
      </w:r>
      <w:r w:rsidRPr="00532437">
        <w:rPr>
          <w:rFonts w:ascii="Times New Roman" w:hAnsi="Times New Roman" w:cs="Times New Roman"/>
          <w:sz w:val="24"/>
          <w:szCs w:val="24"/>
          <w:lang w:val="en-US"/>
        </w:rPr>
        <w:t>ove record of accredited voters. To this end, the c</w:t>
      </w:r>
      <w:r w:rsidR="00153F7E" w:rsidRPr="00532437">
        <w:rPr>
          <w:rFonts w:ascii="Times New Roman" w:hAnsi="Times New Roman" w:cs="Times New Roman"/>
          <w:sz w:val="24"/>
          <w:szCs w:val="24"/>
          <w:lang w:val="en-US"/>
        </w:rPr>
        <w:t>ourt held thus</w:t>
      </w:r>
      <w:r w:rsidRPr="00532437">
        <w:rPr>
          <w:rFonts w:ascii="Times New Roman" w:hAnsi="Times New Roman" w:cs="Times New Roman"/>
          <w:sz w:val="24"/>
          <w:szCs w:val="24"/>
          <w:lang w:val="en-US"/>
        </w:rPr>
        <w:t>:</w:t>
      </w:r>
    </w:p>
    <w:p w:rsidR="00B15981" w:rsidRDefault="00B15981" w:rsidP="00B15981">
      <w:pPr>
        <w:spacing w:line="240" w:lineRule="auto"/>
        <w:ind w:left="850" w:right="85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sidR="00153F7E" w:rsidRPr="00B15981">
        <w:rPr>
          <w:rFonts w:ascii="Times New Roman" w:hAnsi="Times New Roman" w:cs="Times New Roman"/>
          <w:sz w:val="24"/>
          <w:szCs w:val="24"/>
          <w:lang w:val="en-US"/>
        </w:rPr>
        <w:t>it is the number of accredited voters recorded in the BVAS that the number of accredited voters recorded in the result in Form EC8A must be compared with or verified from to determine if there was over-voting in a polling unit. For practical purposes and for ease of reference an original or certified true copy of an INEC certificate of the record of number of accredited voters of the BVAS for each polling unit can be produced from an examination of the record of the BVAS machines and tendered in evidence along with the BVAS machines. In any case, Regulation 48(a) having expressly and specifically mentioned the election documents or instrument with which the number of accredited voters recorded in Form EC8A is to agree with or to be compared with, only that document and no other shall be evidence for that purpose.</w:t>
      </w:r>
      <w:r>
        <w:rPr>
          <w:rStyle w:val="FootnoteReference"/>
          <w:rFonts w:ascii="Times New Roman" w:hAnsi="Times New Roman" w:cs="Times New Roman"/>
          <w:sz w:val="24"/>
          <w:szCs w:val="24"/>
          <w:lang w:val="en-US"/>
        </w:rPr>
        <w:footnoteReference w:id="19"/>
      </w:r>
    </w:p>
    <w:p w:rsidR="00D6148B" w:rsidRDefault="00D6148B" w:rsidP="00B15981">
      <w:pPr>
        <w:spacing w:line="240" w:lineRule="auto"/>
        <w:ind w:left="850" w:right="850"/>
        <w:jc w:val="both"/>
        <w:rPr>
          <w:rFonts w:ascii="Times New Roman" w:hAnsi="Times New Roman" w:cs="Times New Roman"/>
          <w:sz w:val="24"/>
          <w:szCs w:val="24"/>
          <w:lang w:val="en-US"/>
        </w:rPr>
      </w:pPr>
    </w:p>
    <w:p w:rsidR="008B396D" w:rsidRPr="00532437" w:rsidRDefault="008B396D" w:rsidP="00B52F71">
      <w:pPr>
        <w:pStyle w:val="ListParagraph"/>
        <w:numPr>
          <w:ilvl w:val="0"/>
          <w:numId w:val="21"/>
        </w:numPr>
        <w:spacing w:line="240" w:lineRule="auto"/>
        <w:jc w:val="both"/>
        <w:rPr>
          <w:rFonts w:ascii="Times New Roman" w:hAnsi="Times New Roman" w:cs="Times New Roman"/>
          <w:b/>
          <w:i/>
          <w:sz w:val="24"/>
          <w:szCs w:val="24"/>
        </w:rPr>
      </w:pPr>
      <w:r w:rsidRPr="00532437">
        <w:rPr>
          <w:rFonts w:ascii="Times New Roman" w:hAnsi="Times New Roman" w:cs="Times New Roman"/>
          <w:b/>
          <w:sz w:val="24"/>
          <w:szCs w:val="24"/>
        </w:rPr>
        <w:t xml:space="preserve">The </w:t>
      </w:r>
      <w:r w:rsidR="00B52F71" w:rsidRPr="00532437">
        <w:rPr>
          <w:rFonts w:ascii="Times New Roman" w:hAnsi="Times New Roman" w:cs="Times New Roman"/>
          <w:b/>
          <w:sz w:val="24"/>
          <w:szCs w:val="24"/>
        </w:rPr>
        <w:t>S</w:t>
      </w:r>
      <w:r w:rsidRPr="00532437">
        <w:rPr>
          <w:rFonts w:ascii="Times New Roman" w:hAnsi="Times New Roman" w:cs="Times New Roman"/>
          <w:b/>
          <w:sz w:val="24"/>
          <w:szCs w:val="24"/>
        </w:rPr>
        <w:t>tatus of the Collation System and the INEC Resu</w:t>
      </w:r>
      <w:r w:rsidR="00B52F71" w:rsidRPr="00532437">
        <w:rPr>
          <w:rFonts w:ascii="Times New Roman" w:hAnsi="Times New Roman" w:cs="Times New Roman"/>
          <w:b/>
          <w:sz w:val="24"/>
          <w:szCs w:val="24"/>
        </w:rPr>
        <w:t>lt Viewing (</w:t>
      </w:r>
      <w:proofErr w:type="spellStart"/>
      <w:r w:rsidR="00B52F71" w:rsidRPr="00532437">
        <w:rPr>
          <w:rFonts w:ascii="Times New Roman" w:hAnsi="Times New Roman" w:cs="Times New Roman"/>
          <w:b/>
          <w:sz w:val="24"/>
          <w:szCs w:val="24"/>
        </w:rPr>
        <w:t>IReV</w:t>
      </w:r>
      <w:proofErr w:type="spellEnd"/>
      <w:r w:rsidR="00B52F71" w:rsidRPr="00532437">
        <w:rPr>
          <w:rFonts w:ascii="Times New Roman" w:hAnsi="Times New Roman" w:cs="Times New Roman"/>
          <w:b/>
          <w:sz w:val="24"/>
          <w:szCs w:val="24"/>
        </w:rPr>
        <w:t xml:space="preserve">) Portal in </w:t>
      </w:r>
      <w:r w:rsidRPr="00532437">
        <w:rPr>
          <w:rFonts w:ascii="Times New Roman" w:hAnsi="Times New Roman" w:cs="Times New Roman"/>
          <w:b/>
          <w:sz w:val="24"/>
          <w:szCs w:val="24"/>
        </w:rPr>
        <w:t>election</w:t>
      </w:r>
      <w:r w:rsidR="00B52F71" w:rsidRPr="00532437">
        <w:rPr>
          <w:rFonts w:ascii="Times New Roman" w:hAnsi="Times New Roman" w:cs="Times New Roman"/>
          <w:b/>
          <w:sz w:val="24"/>
          <w:szCs w:val="24"/>
        </w:rPr>
        <w:t xml:space="preserve"> matter</w:t>
      </w:r>
      <w:r w:rsidR="00532437">
        <w:rPr>
          <w:rFonts w:ascii="Times New Roman" w:hAnsi="Times New Roman" w:cs="Times New Roman"/>
          <w:b/>
          <w:sz w:val="24"/>
          <w:szCs w:val="24"/>
        </w:rPr>
        <w:t>s</w:t>
      </w:r>
    </w:p>
    <w:p w:rsidR="00313933" w:rsidRPr="00313933" w:rsidRDefault="00313933" w:rsidP="00286CE5">
      <w:pPr>
        <w:pStyle w:val="ListParagraph"/>
        <w:spacing w:line="480" w:lineRule="auto"/>
        <w:ind w:left="360"/>
        <w:jc w:val="both"/>
        <w:rPr>
          <w:rFonts w:ascii="Times New Roman" w:hAnsi="Times New Roman" w:cs="Times New Roman"/>
          <w:sz w:val="10"/>
          <w:szCs w:val="24"/>
        </w:rPr>
      </w:pPr>
    </w:p>
    <w:p w:rsidR="00153F7E" w:rsidRPr="00532437" w:rsidRDefault="00D17A73" w:rsidP="00532437">
      <w:pPr>
        <w:spacing w:line="480" w:lineRule="auto"/>
        <w:jc w:val="both"/>
        <w:rPr>
          <w:rFonts w:ascii="Times New Roman" w:hAnsi="Times New Roman" w:cs="Times New Roman"/>
          <w:i/>
          <w:sz w:val="24"/>
          <w:szCs w:val="24"/>
        </w:rPr>
      </w:pPr>
      <w:r w:rsidRPr="00532437">
        <w:rPr>
          <w:rFonts w:ascii="Times New Roman" w:hAnsi="Times New Roman" w:cs="Times New Roman"/>
          <w:sz w:val="24"/>
          <w:szCs w:val="24"/>
        </w:rPr>
        <w:t>In view of the previous</w:t>
      </w:r>
      <w:r w:rsidR="00153F7E" w:rsidRPr="00532437">
        <w:rPr>
          <w:rFonts w:ascii="Times New Roman" w:hAnsi="Times New Roman" w:cs="Times New Roman"/>
          <w:sz w:val="24"/>
          <w:szCs w:val="24"/>
        </w:rPr>
        <w:t xml:space="preserve"> holdings of the Court and juxtaposing same with the perception of an average Nigerian on transmissi</w:t>
      </w:r>
      <w:r w:rsidR="0072629E" w:rsidRPr="00532437">
        <w:rPr>
          <w:rFonts w:ascii="Times New Roman" w:hAnsi="Times New Roman" w:cs="Times New Roman"/>
          <w:sz w:val="24"/>
          <w:szCs w:val="24"/>
        </w:rPr>
        <w:t xml:space="preserve">on of results, the next issue </w:t>
      </w:r>
      <w:r w:rsidR="00153F7E" w:rsidRPr="00532437">
        <w:rPr>
          <w:rFonts w:ascii="Times New Roman" w:hAnsi="Times New Roman" w:cs="Times New Roman"/>
          <w:sz w:val="24"/>
          <w:szCs w:val="24"/>
        </w:rPr>
        <w:t xml:space="preserve">to </w:t>
      </w:r>
      <w:r w:rsidR="0072629E" w:rsidRPr="00532437">
        <w:rPr>
          <w:rFonts w:ascii="Times New Roman" w:hAnsi="Times New Roman" w:cs="Times New Roman"/>
          <w:sz w:val="24"/>
          <w:szCs w:val="24"/>
        </w:rPr>
        <w:t xml:space="preserve">ascertain </w:t>
      </w:r>
      <w:r w:rsidR="00153F7E" w:rsidRPr="00532437">
        <w:rPr>
          <w:rFonts w:ascii="Times New Roman" w:hAnsi="Times New Roman" w:cs="Times New Roman"/>
          <w:sz w:val="24"/>
          <w:szCs w:val="24"/>
        </w:rPr>
        <w:t>is the essence and status of the Collation System and the INEC Result Viewing (</w:t>
      </w:r>
      <w:proofErr w:type="spellStart"/>
      <w:r w:rsidR="00153F7E" w:rsidRPr="00532437">
        <w:rPr>
          <w:rFonts w:ascii="Times New Roman" w:hAnsi="Times New Roman" w:cs="Times New Roman"/>
          <w:sz w:val="24"/>
          <w:szCs w:val="24"/>
        </w:rPr>
        <w:t>IReV</w:t>
      </w:r>
      <w:proofErr w:type="spellEnd"/>
      <w:r w:rsidR="00153F7E" w:rsidRPr="00532437">
        <w:rPr>
          <w:rFonts w:ascii="Times New Roman" w:hAnsi="Times New Roman" w:cs="Times New Roman"/>
          <w:sz w:val="24"/>
          <w:szCs w:val="24"/>
        </w:rPr>
        <w:t xml:space="preserve">) Portal in the conduct of an election. The </w:t>
      </w:r>
      <w:r w:rsidR="0072629E" w:rsidRPr="00532437">
        <w:rPr>
          <w:rFonts w:ascii="Times New Roman" w:hAnsi="Times New Roman" w:cs="Times New Roman"/>
          <w:sz w:val="24"/>
          <w:szCs w:val="24"/>
        </w:rPr>
        <w:t>c</w:t>
      </w:r>
      <w:r w:rsidR="00153F7E" w:rsidRPr="00532437">
        <w:rPr>
          <w:rFonts w:ascii="Times New Roman" w:hAnsi="Times New Roman" w:cs="Times New Roman"/>
          <w:sz w:val="24"/>
          <w:szCs w:val="24"/>
        </w:rPr>
        <w:t xml:space="preserve">ourt also </w:t>
      </w:r>
      <w:r w:rsidR="0072629E" w:rsidRPr="00532437">
        <w:rPr>
          <w:rFonts w:ascii="Times New Roman" w:hAnsi="Times New Roman" w:cs="Times New Roman"/>
          <w:sz w:val="24"/>
          <w:szCs w:val="24"/>
        </w:rPr>
        <w:t>observed that:</w:t>
      </w:r>
    </w:p>
    <w:p w:rsidR="0072629E" w:rsidRDefault="00153F7E" w:rsidP="0072629E">
      <w:pPr>
        <w:spacing w:after="0" w:line="240" w:lineRule="auto"/>
        <w:ind w:left="720" w:right="720"/>
        <w:jc w:val="both"/>
        <w:rPr>
          <w:rFonts w:ascii="Times New Roman" w:hAnsi="Times New Roman" w:cs="Times New Roman"/>
          <w:sz w:val="24"/>
          <w:szCs w:val="24"/>
        </w:rPr>
      </w:pPr>
      <w:r w:rsidRPr="0072629E">
        <w:rPr>
          <w:rFonts w:ascii="Times New Roman" w:hAnsi="Times New Roman" w:cs="Times New Roman"/>
          <w:sz w:val="24"/>
          <w:szCs w:val="24"/>
        </w:rPr>
        <w:t xml:space="preserve">As their names depict, the Collation System and the INEC Result Viewing Portal are part of the election process and play particular roles in that process. The Collation System is made of the centres where results are collated at various stages of the election. So the polling </w:t>
      </w:r>
      <w:proofErr w:type="gramStart"/>
      <w:r w:rsidRPr="0072629E">
        <w:rPr>
          <w:rFonts w:ascii="Times New Roman" w:hAnsi="Times New Roman" w:cs="Times New Roman"/>
          <w:sz w:val="24"/>
          <w:szCs w:val="24"/>
        </w:rPr>
        <w:t>units</w:t>
      </w:r>
      <w:proofErr w:type="gramEnd"/>
      <w:r w:rsidRPr="0072629E">
        <w:rPr>
          <w:rFonts w:ascii="Times New Roman" w:hAnsi="Times New Roman" w:cs="Times New Roman"/>
          <w:sz w:val="24"/>
          <w:szCs w:val="24"/>
        </w:rPr>
        <w:t xml:space="preserve"> results transmitted to the collation system provides the relevant collation officer the means to verify a polling unit result as the need arises for the purpose of collation. The </w:t>
      </w:r>
      <w:r w:rsidR="00532437" w:rsidRPr="0072629E">
        <w:rPr>
          <w:rFonts w:ascii="Times New Roman" w:hAnsi="Times New Roman" w:cs="Times New Roman"/>
          <w:sz w:val="24"/>
          <w:szCs w:val="24"/>
        </w:rPr>
        <w:t>results transmitted to the Result Viewing Portal are</w:t>
      </w:r>
      <w:r w:rsidRPr="0072629E">
        <w:rPr>
          <w:rFonts w:ascii="Times New Roman" w:hAnsi="Times New Roman" w:cs="Times New Roman"/>
          <w:sz w:val="24"/>
          <w:szCs w:val="24"/>
        </w:rPr>
        <w:t xml:space="preserve"> to give the public at large the opportunity to view the polli</w:t>
      </w:r>
      <w:r w:rsidR="00532437">
        <w:rPr>
          <w:rFonts w:ascii="Times New Roman" w:hAnsi="Times New Roman" w:cs="Times New Roman"/>
          <w:sz w:val="24"/>
          <w:szCs w:val="24"/>
        </w:rPr>
        <w:t>ng unit results on the Election Day</w:t>
      </w:r>
      <w:r w:rsidRPr="0072629E">
        <w:rPr>
          <w:rFonts w:ascii="Times New Roman" w:hAnsi="Times New Roman" w:cs="Times New Roman"/>
          <w:sz w:val="24"/>
          <w:szCs w:val="24"/>
        </w:rPr>
        <w:t>. It is clear from the provisions of Regulation 38</w:t>
      </w:r>
      <w:r w:rsidR="0072629E">
        <w:rPr>
          <w:rFonts w:ascii="Times New Roman" w:hAnsi="Times New Roman" w:cs="Times New Roman"/>
          <w:sz w:val="24"/>
          <w:szCs w:val="24"/>
        </w:rPr>
        <w:t xml:space="preserve"> </w:t>
      </w:r>
      <w:r w:rsidRPr="0072629E">
        <w:rPr>
          <w:rFonts w:ascii="Times New Roman" w:hAnsi="Times New Roman" w:cs="Times New Roman"/>
          <w:sz w:val="24"/>
          <w:szCs w:val="24"/>
        </w:rPr>
        <w:t>(i) and (ii) that the Collation System and Result Viewing Portal are different from the National Electronic Register of Election Results. The Collation System and Result Viewing Portal are operational during the election as part of the process</w:t>
      </w:r>
      <w:r w:rsidR="0072629E">
        <w:rPr>
          <w:rFonts w:ascii="Times New Roman" w:hAnsi="Times New Roman" w:cs="Times New Roman"/>
          <w:sz w:val="24"/>
          <w:szCs w:val="24"/>
        </w:rPr>
        <w:t>.</w:t>
      </w:r>
      <w:r w:rsidRPr="0072629E">
        <w:rPr>
          <w:rFonts w:ascii="Times New Roman" w:hAnsi="Times New Roman" w:cs="Times New Roman"/>
          <w:sz w:val="24"/>
          <w:szCs w:val="24"/>
        </w:rPr>
        <w:t xml:space="preserve"> </w:t>
      </w:r>
      <w:r w:rsidR="0072629E" w:rsidRPr="0072629E">
        <w:rPr>
          <w:rFonts w:ascii="Times New Roman" w:hAnsi="Times New Roman" w:cs="Times New Roman"/>
          <w:sz w:val="24"/>
          <w:szCs w:val="24"/>
        </w:rPr>
        <w:t>T</w:t>
      </w:r>
      <w:r w:rsidRPr="0072629E">
        <w:rPr>
          <w:rFonts w:ascii="Times New Roman" w:hAnsi="Times New Roman" w:cs="Times New Roman"/>
          <w:sz w:val="24"/>
          <w:szCs w:val="24"/>
        </w:rPr>
        <w:t>he</w:t>
      </w:r>
      <w:r w:rsidR="0072629E">
        <w:rPr>
          <w:rFonts w:ascii="Times New Roman" w:hAnsi="Times New Roman" w:cs="Times New Roman"/>
          <w:sz w:val="24"/>
          <w:szCs w:val="24"/>
        </w:rPr>
        <w:t xml:space="preserve"> </w:t>
      </w:r>
      <w:r w:rsidRPr="0072629E">
        <w:rPr>
          <w:rFonts w:ascii="Times New Roman" w:hAnsi="Times New Roman" w:cs="Times New Roman"/>
          <w:sz w:val="24"/>
          <w:szCs w:val="24"/>
        </w:rPr>
        <w:t>National Electronic Register of Election Results is a post-election record and is not part of the election process.</w:t>
      </w:r>
      <w:r w:rsidR="0072629E">
        <w:rPr>
          <w:rStyle w:val="FootnoteReference"/>
          <w:rFonts w:ascii="Times New Roman" w:hAnsi="Times New Roman" w:cs="Times New Roman"/>
          <w:sz w:val="24"/>
          <w:szCs w:val="24"/>
        </w:rPr>
        <w:footnoteReference w:id="20"/>
      </w:r>
    </w:p>
    <w:p w:rsidR="0072629E" w:rsidRDefault="0072629E" w:rsidP="0072629E">
      <w:pPr>
        <w:spacing w:after="0" w:line="240" w:lineRule="auto"/>
        <w:ind w:left="720" w:right="720"/>
        <w:jc w:val="both"/>
        <w:rPr>
          <w:rFonts w:ascii="Times New Roman" w:hAnsi="Times New Roman" w:cs="Times New Roman"/>
          <w:sz w:val="24"/>
          <w:szCs w:val="24"/>
        </w:rPr>
      </w:pPr>
    </w:p>
    <w:p w:rsidR="003739FB" w:rsidRDefault="003739FB" w:rsidP="0072629E">
      <w:pPr>
        <w:spacing w:after="0" w:line="240" w:lineRule="auto"/>
        <w:ind w:left="720" w:right="720"/>
        <w:jc w:val="both"/>
        <w:rPr>
          <w:rFonts w:ascii="Times New Roman" w:hAnsi="Times New Roman" w:cs="Times New Roman"/>
          <w:sz w:val="24"/>
          <w:szCs w:val="24"/>
        </w:rPr>
      </w:pPr>
    </w:p>
    <w:p w:rsidR="003739FB" w:rsidRDefault="003739FB" w:rsidP="0072629E">
      <w:pPr>
        <w:spacing w:after="0" w:line="240" w:lineRule="auto"/>
        <w:ind w:left="720" w:right="720"/>
        <w:jc w:val="both"/>
        <w:rPr>
          <w:rFonts w:ascii="Times New Roman" w:hAnsi="Times New Roman" w:cs="Times New Roman"/>
          <w:sz w:val="24"/>
          <w:szCs w:val="24"/>
        </w:rPr>
      </w:pPr>
    </w:p>
    <w:p w:rsidR="003739FB" w:rsidRDefault="003739FB" w:rsidP="0072629E">
      <w:pPr>
        <w:spacing w:after="0" w:line="240" w:lineRule="auto"/>
        <w:ind w:left="720" w:right="720"/>
        <w:jc w:val="both"/>
        <w:rPr>
          <w:rFonts w:ascii="Times New Roman" w:hAnsi="Times New Roman" w:cs="Times New Roman"/>
          <w:sz w:val="24"/>
          <w:szCs w:val="24"/>
        </w:rPr>
      </w:pPr>
    </w:p>
    <w:p w:rsidR="003739FB" w:rsidRDefault="003739FB" w:rsidP="0072629E">
      <w:pPr>
        <w:spacing w:after="0" w:line="240" w:lineRule="auto"/>
        <w:ind w:left="720" w:right="720"/>
        <w:jc w:val="both"/>
        <w:rPr>
          <w:rFonts w:ascii="Times New Roman" w:hAnsi="Times New Roman" w:cs="Times New Roman"/>
          <w:sz w:val="24"/>
          <w:szCs w:val="24"/>
        </w:rPr>
      </w:pPr>
    </w:p>
    <w:p w:rsidR="003739FB" w:rsidRDefault="003739FB" w:rsidP="0072629E">
      <w:pPr>
        <w:spacing w:after="0" w:line="240" w:lineRule="auto"/>
        <w:ind w:left="720" w:right="720"/>
        <w:jc w:val="both"/>
        <w:rPr>
          <w:rFonts w:ascii="Times New Roman" w:hAnsi="Times New Roman" w:cs="Times New Roman"/>
          <w:sz w:val="24"/>
          <w:szCs w:val="24"/>
        </w:rPr>
      </w:pPr>
    </w:p>
    <w:p w:rsidR="00471473" w:rsidRPr="00532437" w:rsidRDefault="00471473" w:rsidP="00532437">
      <w:pPr>
        <w:pStyle w:val="ListParagraph"/>
        <w:numPr>
          <w:ilvl w:val="0"/>
          <w:numId w:val="21"/>
        </w:numPr>
        <w:spacing w:line="480" w:lineRule="auto"/>
        <w:jc w:val="both"/>
        <w:rPr>
          <w:rFonts w:ascii="Times New Roman" w:hAnsi="Times New Roman" w:cs="Times New Roman"/>
          <w:b/>
          <w:sz w:val="24"/>
          <w:szCs w:val="24"/>
        </w:rPr>
      </w:pPr>
      <w:r w:rsidRPr="00532437">
        <w:rPr>
          <w:rFonts w:ascii="Times New Roman" w:hAnsi="Times New Roman" w:cs="Times New Roman"/>
          <w:b/>
          <w:sz w:val="24"/>
          <w:szCs w:val="24"/>
        </w:rPr>
        <w:lastRenderedPageBreak/>
        <w:t xml:space="preserve">Transmission of </w:t>
      </w:r>
      <w:r w:rsidR="00532437">
        <w:rPr>
          <w:rFonts w:ascii="Times New Roman" w:hAnsi="Times New Roman" w:cs="Times New Roman"/>
          <w:b/>
          <w:sz w:val="24"/>
          <w:szCs w:val="24"/>
        </w:rPr>
        <w:t>R</w:t>
      </w:r>
      <w:r w:rsidRPr="00532437">
        <w:rPr>
          <w:rFonts w:ascii="Times New Roman" w:hAnsi="Times New Roman" w:cs="Times New Roman"/>
          <w:b/>
          <w:sz w:val="24"/>
          <w:szCs w:val="24"/>
        </w:rPr>
        <w:t>esults to INEC data base by a Presiding Officer</w:t>
      </w:r>
    </w:p>
    <w:p w:rsidR="00153F7E" w:rsidRPr="00532437" w:rsidRDefault="00153F7E" w:rsidP="00532437">
      <w:pPr>
        <w:spacing w:line="480" w:lineRule="auto"/>
        <w:jc w:val="both"/>
        <w:rPr>
          <w:rFonts w:ascii="Times New Roman" w:hAnsi="Times New Roman" w:cs="Times New Roman"/>
          <w:sz w:val="24"/>
          <w:szCs w:val="24"/>
        </w:rPr>
      </w:pPr>
      <w:r w:rsidRPr="00532437">
        <w:rPr>
          <w:rFonts w:ascii="Times New Roman" w:hAnsi="Times New Roman" w:cs="Times New Roman"/>
          <w:sz w:val="24"/>
          <w:szCs w:val="24"/>
        </w:rPr>
        <w:t>The Court also ventilated its mind on whether a Presiding Officer is required to transmit the accredited voters in a polling unit or the polling unit result during election to the INEC data base as part of the election process</w:t>
      </w:r>
      <w:r w:rsidR="00532437">
        <w:rPr>
          <w:rFonts w:ascii="Times New Roman" w:hAnsi="Times New Roman" w:cs="Times New Roman"/>
          <w:sz w:val="24"/>
          <w:szCs w:val="24"/>
        </w:rPr>
        <w:t>.</w:t>
      </w:r>
      <w:r w:rsidRPr="00532437">
        <w:rPr>
          <w:rFonts w:ascii="Times New Roman" w:hAnsi="Times New Roman" w:cs="Times New Roman"/>
          <w:sz w:val="24"/>
          <w:szCs w:val="24"/>
        </w:rPr>
        <w:t xml:space="preserve"> </w:t>
      </w:r>
      <w:r w:rsidR="00532437">
        <w:rPr>
          <w:rFonts w:ascii="Times New Roman" w:hAnsi="Times New Roman" w:cs="Times New Roman"/>
          <w:sz w:val="24"/>
          <w:szCs w:val="24"/>
        </w:rPr>
        <w:t>Consequent on the above, the court held that</w:t>
      </w:r>
      <w:r w:rsidR="00056349" w:rsidRPr="00532437">
        <w:rPr>
          <w:rFonts w:ascii="Times New Roman" w:hAnsi="Times New Roman" w:cs="Times New Roman"/>
          <w:sz w:val="24"/>
          <w:szCs w:val="24"/>
        </w:rPr>
        <w:t xml:space="preserve"> </w:t>
      </w:r>
      <w:r w:rsidRPr="00532437">
        <w:rPr>
          <w:rFonts w:ascii="Times New Roman" w:hAnsi="Times New Roman" w:cs="Times New Roman"/>
          <w:sz w:val="24"/>
          <w:szCs w:val="24"/>
        </w:rPr>
        <w:t>there is no part of the Electoral Act requiring the Presiding Officer to transmit the accredited voters in a polling unit or the polling unit result during election to the INEC data base as part of the election process</w:t>
      </w:r>
      <w:r w:rsidRPr="00532437">
        <w:rPr>
          <w:rFonts w:ascii="Times New Roman" w:hAnsi="Times New Roman" w:cs="Times New Roman"/>
          <w:i/>
          <w:sz w:val="24"/>
          <w:szCs w:val="24"/>
        </w:rPr>
        <w:t>.</w:t>
      </w:r>
    </w:p>
    <w:p w:rsidR="00927CC7" w:rsidRPr="00927CC7" w:rsidRDefault="00927CC7" w:rsidP="00286CE5">
      <w:pPr>
        <w:pStyle w:val="ListParagraph"/>
        <w:spacing w:line="480" w:lineRule="auto"/>
        <w:ind w:left="360"/>
        <w:jc w:val="both"/>
        <w:rPr>
          <w:rFonts w:ascii="Times New Roman" w:eastAsia="SimSun" w:hAnsi="Times New Roman" w:cs="Times New Roman"/>
          <w:b/>
          <w:color w:val="000000"/>
          <w:sz w:val="10"/>
          <w:szCs w:val="24"/>
          <w:lang w:val="en-US" w:eastAsia="zh-CN"/>
        </w:rPr>
      </w:pPr>
    </w:p>
    <w:p w:rsidR="00134271" w:rsidRPr="00532437" w:rsidRDefault="00134271" w:rsidP="00532437">
      <w:pPr>
        <w:pStyle w:val="ListParagraph"/>
        <w:numPr>
          <w:ilvl w:val="0"/>
          <w:numId w:val="21"/>
        </w:numPr>
        <w:spacing w:line="480" w:lineRule="auto"/>
        <w:jc w:val="both"/>
        <w:rPr>
          <w:rFonts w:ascii="Times New Roman" w:eastAsia="SimSun" w:hAnsi="Times New Roman" w:cs="Times New Roman"/>
          <w:b/>
          <w:color w:val="000000"/>
          <w:sz w:val="24"/>
          <w:szCs w:val="24"/>
          <w:lang w:val="en-US" w:eastAsia="zh-CN"/>
        </w:rPr>
      </w:pPr>
      <w:r w:rsidRPr="00532437">
        <w:rPr>
          <w:rFonts w:ascii="Times New Roman" w:hAnsi="Times New Roman" w:cs="Times New Roman"/>
          <w:b/>
          <w:sz w:val="24"/>
          <w:szCs w:val="24"/>
        </w:rPr>
        <w:t xml:space="preserve">The </w:t>
      </w:r>
      <w:r w:rsidR="00532437">
        <w:rPr>
          <w:rFonts w:ascii="Times New Roman" w:hAnsi="Times New Roman" w:cs="Times New Roman"/>
          <w:b/>
          <w:sz w:val="24"/>
          <w:szCs w:val="24"/>
        </w:rPr>
        <w:t>Relevance of the V</w:t>
      </w:r>
      <w:r w:rsidRPr="00532437">
        <w:rPr>
          <w:rFonts w:ascii="Times New Roman" w:hAnsi="Times New Roman" w:cs="Times New Roman"/>
          <w:b/>
          <w:sz w:val="24"/>
          <w:szCs w:val="24"/>
        </w:rPr>
        <w:t>oters’ registers for the pro</w:t>
      </w:r>
      <w:r w:rsidR="00532437">
        <w:rPr>
          <w:rFonts w:ascii="Times New Roman" w:hAnsi="Times New Roman" w:cs="Times New Roman"/>
          <w:b/>
          <w:sz w:val="24"/>
          <w:szCs w:val="24"/>
        </w:rPr>
        <w:t>of</w:t>
      </w:r>
      <w:r w:rsidRPr="00532437">
        <w:rPr>
          <w:rFonts w:ascii="Times New Roman" w:hAnsi="Times New Roman" w:cs="Times New Roman"/>
          <w:b/>
          <w:sz w:val="24"/>
          <w:szCs w:val="24"/>
        </w:rPr>
        <w:t xml:space="preserve"> of non-accreditation</w:t>
      </w:r>
    </w:p>
    <w:p w:rsidR="00A96E73" w:rsidRPr="00532437" w:rsidRDefault="00153F7E" w:rsidP="00532437">
      <w:pPr>
        <w:spacing w:line="480" w:lineRule="auto"/>
        <w:jc w:val="both"/>
        <w:rPr>
          <w:rFonts w:ascii="Times New Roman" w:hAnsi="Times New Roman" w:cs="Times New Roman"/>
          <w:sz w:val="24"/>
          <w:szCs w:val="24"/>
        </w:rPr>
      </w:pPr>
      <w:r w:rsidRPr="00532437">
        <w:rPr>
          <w:rFonts w:ascii="Times New Roman" w:hAnsi="Times New Roman" w:cs="Times New Roman"/>
          <w:sz w:val="24"/>
          <w:szCs w:val="24"/>
        </w:rPr>
        <w:t>On whether the register of voters for each polling unit is relevant evidence to prove alle</w:t>
      </w:r>
      <w:r w:rsidR="00532437">
        <w:rPr>
          <w:rFonts w:ascii="Times New Roman" w:hAnsi="Times New Roman" w:cs="Times New Roman"/>
          <w:sz w:val="24"/>
          <w:szCs w:val="24"/>
        </w:rPr>
        <w:t>ged non-accreditation of voters, especially</w:t>
      </w:r>
      <w:r w:rsidRPr="00532437">
        <w:rPr>
          <w:rFonts w:ascii="Times New Roman" w:hAnsi="Times New Roman" w:cs="Times New Roman"/>
          <w:sz w:val="24"/>
          <w:szCs w:val="24"/>
        </w:rPr>
        <w:t xml:space="preserve"> where there is conflict between the record of accredited voters in BVAS machine and ticked </w:t>
      </w:r>
      <w:r w:rsidR="00532437">
        <w:rPr>
          <w:rFonts w:ascii="Times New Roman" w:hAnsi="Times New Roman" w:cs="Times New Roman"/>
          <w:sz w:val="24"/>
          <w:szCs w:val="24"/>
        </w:rPr>
        <w:t>names in the register of voters?</w:t>
      </w:r>
      <w:r w:rsidRPr="00532437">
        <w:rPr>
          <w:rFonts w:ascii="Times New Roman" w:hAnsi="Times New Roman" w:cs="Times New Roman"/>
          <w:sz w:val="24"/>
          <w:szCs w:val="24"/>
        </w:rPr>
        <w:t xml:space="preserve"> </w:t>
      </w:r>
      <w:r w:rsidR="00532437" w:rsidRPr="00532437">
        <w:rPr>
          <w:rFonts w:ascii="Times New Roman" w:hAnsi="Times New Roman" w:cs="Times New Roman"/>
          <w:sz w:val="24"/>
          <w:szCs w:val="24"/>
        </w:rPr>
        <w:t>T</w:t>
      </w:r>
      <w:r w:rsidRPr="00532437">
        <w:rPr>
          <w:rFonts w:ascii="Times New Roman" w:hAnsi="Times New Roman" w:cs="Times New Roman"/>
          <w:sz w:val="24"/>
          <w:szCs w:val="24"/>
        </w:rPr>
        <w:t>he</w:t>
      </w:r>
      <w:r w:rsidR="00532437">
        <w:rPr>
          <w:rFonts w:ascii="Times New Roman" w:hAnsi="Times New Roman" w:cs="Times New Roman"/>
          <w:sz w:val="24"/>
          <w:szCs w:val="24"/>
        </w:rPr>
        <w:t xml:space="preserve"> c</w:t>
      </w:r>
      <w:r w:rsidR="007810C5" w:rsidRPr="00532437">
        <w:rPr>
          <w:rFonts w:ascii="Times New Roman" w:hAnsi="Times New Roman" w:cs="Times New Roman"/>
          <w:sz w:val="24"/>
          <w:szCs w:val="24"/>
        </w:rPr>
        <w:t>o</w:t>
      </w:r>
      <w:r w:rsidR="00532437">
        <w:rPr>
          <w:rFonts w:ascii="Times New Roman" w:hAnsi="Times New Roman" w:cs="Times New Roman"/>
          <w:sz w:val="24"/>
          <w:szCs w:val="24"/>
        </w:rPr>
        <w:t>urt held that</w:t>
      </w:r>
      <w:r w:rsidR="007810C5" w:rsidRPr="00532437">
        <w:rPr>
          <w:rFonts w:ascii="Times New Roman" w:hAnsi="Times New Roman" w:cs="Times New Roman"/>
          <w:sz w:val="24"/>
          <w:szCs w:val="24"/>
        </w:rPr>
        <w:t xml:space="preserve"> i</w:t>
      </w:r>
      <w:r w:rsidRPr="00532437">
        <w:rPr>
          <w:rFonts w:ascii="Times New Roman" w:hAnsi="Times New Roman" w:cs="Times New Roman"/>
          <w:sz w:val="24"/>
          <w:szCs w:val="24"/>
        </w:rPr>
        <w:t>t is worth stating that in the event of a conflict between the record of accredited voters in the BVAS machine and ticked names in the Register of voters due to human errors in the ticking of the names in the Register of voters, the BVAS Record shall prevail</w:t>
      </w:r>
      <w:r w:rsidR="00532437">
        <w:rPr>
          <w:rFonts w:ascii="Times New Roman" w:hAnsi="Times New Roman" w:cs="Times New Roman"/>
          <w:sz w:val="24"/>
          <w:szCs w:val="24"/>
        </w:rPr>
        <w:t>.</w:t>
      </w:r>
    </w:p>
    <w:p w:rsidR="00047BFF" w:rsidRPr="00532437" w:rsidRDefault="00047BFF" w:rsidP="00532437">
      <w:pPr>
        <w:pStyle w:val="ListParagraph"/>
        <w:numPr>
          <w:ilvl w:val="0"/>
          <w:numId w:val="11"/>
        </w:numPr>
        <w:spacing w:line="480" w:lineRule="auto"/>
        <w:jc w:val="both"/>
        <w:rPr>
          <w:rFonts w:ascii="Times New Roman" w:hAnsi="Times New Roman" w:cs="Times New Roman"/>
          <w:sz w:val="24"/>
          <w:szCs w:val="24"/>
        </w:rPr>
      </w:pPr>
      <w:r w:rsidRPr="00532437">
        <w:rPr>
          <w:rFonts w:ascii="Times New Roman" w:hAnsi="Times New Roman" w:cs="Times New Roman"/>
          <w:b/>
          <w:sz w:val="24"/>
          <w:szCs w:val="24"/>
        </w:rPr>
        <w:t>Electronic Transmission of results in the 2019 Presidential election</w:t>
      </w:r>
    </w:p>
    <w:p w:rsidR="00047BFF" w:rsidRPr="00D3072B" w:rsidRDefault="00047BFF" w:rsidP="00286CE5">
      <w:pPr>
        <w:spacing w:line="480" w:lineRule="auto"/>
        <w:jc w:val="both"/>
        <w:rPr>
          <w:rFonts w:ascii="Times New Roman" w:hAnsi="Times New Roman" w:cs="Times New Roman"/>
          <w:sz w:val="24"/>
          <w:szCs w:val="24"/>
        </w:rPr>
      </w:pPr>
      <w:proofErr w:type="gramStart"/>
      <w:r w:rsidRPr="00D3072B">
        <w:rPr>
          <w:rFonts w:ascii="Times New Roman" w:hAnsi="Times New Roman" w:cs="Times New Roman"/>
          <w:sz w:val="24"/>
          <w:szCs w:val="24"/>
        </w:rPr>
        <w:t xml:space="preserve">The judgment of the </w:t>
      </w:r>
      <w:r>
        <w:rPr>
          <w:rFonts w:ascii="Times New Roman" w:hAnsi="Times New Roman" w:cs="Times New Roman"/>
          <w:sz w:val="24"/>
          <w:szCs w:val="24"/>
        </w:rPr>
        <w:t>c</w:t>
      </w:r>
      <w:r w:rsidRPr="00D3072B">
        <w:rPr>
          <w:rFonts w:ascii="Times New Roman" w:hAnsi="Times New Roman" w:cs="Times New Roman"/>
          <w:sz w:val="24"/>
          <w:szCs w:val="24"/>
        </w:rPr>
        <w:t>ourt in</w:t>
      </w:r>
      <w:r w:rsidRPr="00D3072B">
        <w:rPr>
          <w:rFonts w:ascii="Calibri" w:eastAsia="SimSun" w:hAnsi="Calibri" w:cs="Times New Roman"/>
          <w:sz w:val="20"/>
          <w:szCs w:val="20"/>
          <w:lang w:val="en-US" w:eastAsia="zh-CN"/>
        </w:rPr>
        <w:t xml:space="preserve"> the </w:t>
      </w:r>
      <w:r w:rsidRPr="00D3072B">
        <w:rPr>
          <w:rFonts w:ascii="Times New Roman" w:hAnsi="Times New Roman" w:cs="Times New Roman"/>
          <w:sz w:val="24"/>
          <w:szCs w:val="24"/>
        </w:rPr>
        <w:t xml:space="preserve">case of </w:t>
      </w:r>
      <w:proofErr w:type="spellStart"/>
      <w:r w:rsidRPr="00D3072B">
        <w:rPr>
          <w:rFonts w:ascii="Times New Roman" w:hAnsi="Times New Roman" w:cs="Times New Roman"/>
          <w:sz w:val="24"/>
          <w:szCs w:val="24"/>
        </w:rPr>
        <w:t>A</w:t>
      </w:r>
      <w:r>
        <w:rPr>
          <w:rFonts w:ascii="Times New Roman" w:hAnsi="Times New Roman" w:cs="Times New Roman"/>
          <w:sz w:val="24"/>
          <w:szCs w:val="24"/>
        </w:rPr>
        <w:t>bubakar</w:t>
      </w:r>
      <w:proofErr w:type="spellEnd"/>
      <w:r>
        <w:rPr>
          <w:rFonts w:ascii="Times New Roman" w:hAnsi="Times New Roman" w:cs="Times New Roman"/>
          <w:sz w:val="24"/>
          <w:szCs w:val="24"/>
        </w:rPr>
        <w:t xml:space="preserve"> </w:t>
      </w:r>
      <w:r w:rsidRPr="00D3072B">
        <w:rPr>
          <w:rFonts w:ascii="Times New Roman" w:hAnsi="Times New Roman" w:cs="Times New Roman"/>
          <w:sz w:val="24"/>
          <w:szCs w:val="24"/>
        </w:rPr>
        <w:t xml:space="preserve">&amp; </w:t>
      </w:r>
      <w:proofErr w:type="spellStart"/>
      <w:r w:rsidR="00D6148B">
        <w:rPr>
          <w:rFonts w:ascii="Times New Roman" w:hAnsi="Times New Roman" w:cs="Times New Roman"/>
          <w:sz w:val="24"/>
          <w:szCs w:val="24"/>
        </w:rPr>
        <w:t>a</w:t>
      </w:r>
      <w:r>
        <w:rPr>
          <w:rFonts w:ascii="Times New Roman" w:hAnsi="Times New Roman" w:cs="Times New Roman"/>
          <w:sz w:val="24"/>
          <w:szCs w:val="24"/>
        </w:rPr>
        <w:t>nor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INEC &amp; </w:t>
      </w:r>
      <w:proofErr w:type="spellStart"/>
      <w:r w:rsidR="00D6148B">
        <w:rPr>
          <w:rFonts w:ascii="Times New Roman" w:hAnsi="Times New Roman" w:cs="Times New Roman"/>
          <w:sz w:val="24"/>
          <w:szCs w:val="24"/>
        </w:rPr>
        <w:t>o</w:t>
      </w:r>
      <w:r>
        <w:rPr>
          <w:rFonts w:ascii="Times New Roman" w:hAnsi="Times New Roman" w:cs="Times New Roman"/>
          <w:sz w:val="24"/>
          <w:szCs w:val="24"/>
        </w:rPr>
        <w:t>rs</w:t>
      </w:r>
      <w:proofErr w:type="spellEnd"/>
      <w:r>
        <w:rPr>
          <w:rFonts w:ascii="Times New Roman" w:hAnsi="Times New Roman" w:cs="Times New Roman"/>
          <w:sz w:val="24"/>
          <w:szCs w:val="24"/>
        </w:rPr>
        <w:t>.</w:t>
      </w:r>
      <w:r w:rsidR="00D6148B">
        <w:rPr>
          <w:rFonts w:ascii="Times New Roman" w:hAnsi="Times New Roman" w:cs="Times New Roman"/>
          <w:sz w:val="24"/>
          <w:szCs w:val="24"/>
        </w:rPr>
        <w:t>,</w:t>
      </w:r>
      <w:r w:rsidRPr="00D3072B">
        <w:rPr>
          <w:vertAlign w:val="superscript"/>
        </w:rPr>
        <w:footnoteReference w:id="21"/>
      </w:r>
      <w:r w:rsidRPr="00D3072B">
        <w:rPr>
          <w:rFonts w:ascii="Times New Roman" w:hAnsi="Times New Roman" w:cs="Times New Roman"/>
          <w:sz w:val="24"/>
          <w:szCs w:val="24"/>
        </w:rPr>
        <w:t xml:space="preserve"> </w:t>
      </w:r>
      <w:r w:rsidR="00D6148B">
        <w:rPr>
          <w:rFonts w:ascii="Times New Roman" w:hAnsi="Times New Roman" w:cs="Times New Roman"/>
          <w:sz w:val="24"/>
          <w:szCs w:val="24"/>
        </w:rPr>
        <w:t xml:space="preserve">focused </w:t>
      </w:r>
      <w:r w:rsidRPr="00D3072B">
        <w:rPr>
          <w:rFonts w:ascii="Times New Roman" w:hAnsi="Times New Roman" w:cs="Times New Roman"/>
          <w:sz w:val="24"/>
          <w:szCs w:val="24"/>
        </w:rPr>
        <w:t xml:space="preserve">on </w:t>
      </w:r>
      <w:r>
        <w:rPr>
          <w:rFonts w:ascii="Times New Roman" w:hAnsi="Times New Roman" w:cs="Times New Roman"/>
          <w:sz w:val="24"/>
          <w:szCs w:val="24"/>
        </w:rPr>
        <w:t>e</w:t>
      </w:r>
      <w:r w:rsidRPr="00D3072B">
        <w:rPr>
          <w:rFonts w:ascii="Times New Roman" w:hAnsi="Times New Roman" w:cs="Times New Roman"/>
          <w:sz w:val="24"/>
          <w:szCs w:val="24"/>
        </w:rPr>
        <w:t xml:space="preserve">lection </w:t>
      </w:r>
      <w:r>
        <w:rPr>
          <w:rFonts w:ascii="Times New Roman" w:hAnsi="Times New Roman" w:cs="Times New Roman"/>
          <w:sz w:val="24"/>
          <w:szCs w:val="24"/>
        </w:rPr>
        <w:t>p</w:t>
      </w:r>
      <w:r w:rsidRPr="00D3072B">
        <w:rPr>
          <w:rFonts w:ascii="Times New Roman" w:hAnsi="Times New Roman" w:cs="Times New Roman"/>
          <w:sz w:val="24"/>
          <w:szCs w:val="24"/>
        </w:rPr>
        <w:t xml:space="preserve">etition </w:t>
      </w:r>
      <w:r>
        <w:rPr>
          <w:rFonts w:ascii="Times New Roman" w:hAnsi="Times New Roman" w:cs="Times New Roman"/>
          <w:sz w:val="24"/>
          <w:szCs w:val="24"/>
        </w:rPr>
        <w:t>a</w:t>
      </w:r>
      <w:r w:rsidRPr="00D3072B">
        <w:rPr>
          <w:rFonts w:ascii="Times New Roman" w:hAnsi="Times New Roman" w:cs="Times New Roman"/>
          <w:sz w:val="24"/>
          <w:szCs w:val="24"/>
        </w:rPr>
        <w:t>ppeal brought befo</w:t>
      </w:r>
      <w:r>
        <w:rPr>
          <w:rFonts w:ascii="Times New Roman" w:hAnsi="Times New Roman" w:cs="Times New Roman"/>
          <w:sz w:val="24"/>
          <w:szCs w:val="24"/>
        </w:rPr>
        <w:t xml:space="preserve">re it. The facts of the case revealed </w:t>
      </w:r>
      <w:r w:rsidR="00D6148B">
        <w:rPr>
          <w:rFonts w:ascii="Times New Roman" w:hAnsi="Times New Roman" w:cs="Times New Roman"/>
          <w:sz w:val="24"/>
          <w:szCs w:val="24"/>
        </w:rPr>
        <w:t xml:space="preserve">that </w:t>
      </w:r>
      <w:r w:rsidRPr="00D3072B">
        <w:rPr>
          <w:rFonts w:ascii="Times New Roman" w:hAnsi="Times New Roman" w:cs="Times New Roman"/>
          <w:sz w:val="24"/>
          <w:szCs w:val="24"/>
        </w:rPr>
        <w:t xml:space="preserve">the petition </w:t>
      </w:r>
      <w:r>
        <w:rPr>
          <w:rFonts w:ascii="Times New Roman" w:hAnsi="Times New Roman" w:cs="Times New Roman"/>
          <w:sz w:val="24"/>
          <w:szCs w:val="24"/>
        </w:rPr>
        <w:t xml:space="preserve">brought </w:t>
      </w:r>
      <w:r w:rsidRPr="00D3072B">
        <w:rPr>
          <w:rFonts w:ascii="Times New Roman" w:hAnsi="Times New Roman" w:cs="Times New Roman"/>
          <w:sz w:val="24"/>
          <w:szCs w:val="24"/>
        </w:rPr>
        <w:t>against the result of the Presidential Election conducted by INEC (1</w:t>
      </w:r>
      <w:r w:rsidRPr="00D3072B">
        <w:rPr>
          <w:rFonts w:ascii="Times New Roman" w:hAnsi="Times New Roman" w:cs="Times New Roman"/>
          <w:sz w:val="24"/>
          <w:szCs w:val="24"/>
          <w:vertAlign w:val="superscript"/>
        </w:rPr>
        <w:t>st</w:t>
      </w:r>
      <w:r w:rsidRPr="00D3072B">
        <w:rPr>
          <w:rFonts w:ascii="Times New Roman" w:hAnsi="Times New Roman" w:cs="Times New Roman"/>
          <w:sz w:val="24"/>
          <w:szCs w:val="24"/>
        </w:rPr>
        <w:t xml:space="preserve"> Respondent) on the 23</w:t>
      </w:r>
      <w:r w:rsidRPr="00D3072B">
        <w:rPr>
          <w:rFonts w:ascii="Times New Roman" w:hAnsi="Times New Roman" w:cs="Times New Roman"/>
          <w:sz w:val="24"/>
          <w:szCs w:val="24"/>
          <w:vertAlign w:val="superscript"/>
        </w:rPr>
        <w:t>rd</w:t>
      </w:r>
      <w:r w:rsidR="00D6148B">
        <w:rPr>
          <w:rFonts w:ascii="Times New Roman" w:hAnsi="Times New Roman" w:cs="Times New Roman"/>
          <w:sz w:val="24"/>
          <w:szCs w:val="24"/>
        </w:rPr>
        <w:t xml:space="preserve"> day February</w:t>
      </w:r>
      <w:r w:rsidRPr="00D3072B">
        <w:rPr>
          <w:rFonts w:ascii="Times New Roman" w:hAnsi="Times New Roman" w:cs="Times New Roman"/>
          <w:sz w:val="24"/>
          <w:szCs w:val="24"/>
        </w:rPr>
        <w:t xml:space="preserve"> 2019 which was declared on the 27</w:t>
      </w:r>
      <w:r w:rsidRPr="00D3072B">
        <w:rPr>
          <w:rFonts w:ascii="Times New Roman" w:hAnsi="Times New Roman" w:cs="Times New Roman"/>
          <w:sz w:val="24"/>
          <w:szCs w:val="24"/>
          <w:vertAlign w:val="superscript"/>
        </w:rPr>
        <w:t>th</w:t>
      </w:r>
      <w:r w:rsidRPr="00D3072B">
        <w:rPr>
          <w:rFonts w:ascii="Times New Roman" w:hAnsi="Times New Roman" w:cs="Times New Roman"/>
          <w:sz w:val="24"/>
          <w:szCs w:val="24"/>
        </w:rPr>
        <w:t xml:space="preserve"> February, </w:t>
      </w:r>
      <w:r>
        <w:rPr>
          <w:rFonts w:ascii="Times New Roman" w:hAnsi="Times New Roman" w:cs="Times New Roman"/>
          <w:sz w:val="24"/>
          <w:szCs w:val="24"/>
        </w:rPr>
        <w:t>2019 as well as</w:t>
      </w:r>
      <w:r w:rsidRPr="00D3072B">
        <w:rPr>
          <w:rFonts w:ascii="Times New Roman" w:hAnsi="Times New Roman" w:cs="Times New Roman"/>
          <w:sz w:val="24"/>
          <w:szCs w:val="24"/>
        </w:rPr>
        <w:t xml:space="preserve"> the 2</w:t>
      </w:r>
      <w:r w:rsidRPr="00D3072B">
        <w:rPr>
          <w:rFonts w:ascii="Times New Roman" w:hAnsi="Times New Roman" w:cs="Times New Roman"/>
          <w:sz w:val="24"/>
          <w:szCs w:val="24"/>
          <w:vertAlign w:val="superscript"/>
        </w:rPr>
        <w:t>nd</w:t>
      </w:r>
      <w:r w:rsidRPr="00D3072B">
        <w:rPr>
          <w:rFonts w:ascii="Times New Roman" w:hAnsi="Times New Roman" w:cs="Times New Roman"/>
          <w:sz w:val="24"/>
          <w:szCs w:val="24"/>
        </w:rPr>
        <w:t xml:space="preserve"> Respondent sponsored by the 3</w:t>
      </w:r>
      <w:r w:rsidRPr="00D3072B">
        <w:rPr>
          <w:rFonts w:ascii="Times New Roman" w:hAnsi="Times New Roman" w:cs="Times New Roman"/>
          <w:sz w:val="24"/>
          <w:szCs w:val="24"/>
          <w:vertAlign w:val="superscript"/>
        </w:rPr>
        <w:t>rd</w:t>
      </w:r>
      <w:r w:rsidRPr="00D3072B">
        <w:rPr>
          <w:rFonts w:ascii="Times New Roman" w:hAnsi="Times New Roman" w:cs="Times New Roman"/>
          <w:sz w:val="24"/>
          <w:szCs w:val="24"/>
        </w:rPr>
        <w:t xml:space="preserve"> Respondent, was declared and returned as the winner thereof. The Petitioners who participated in the election were aggrieved by the outcome and approached the Court vide their Petition dated </w:t>
      </w:r>
      <w:r w:rsidRPr="00D3072B">
        <w:rPr>
          <w:rFonts w:ascii="Times New Roman" w:hAnsi="Times New Roman" w:cs="Times New Roman"/>
          <w:sz w:val="24"/>
          <w:szCs w:val="24"/>
        </w:rPr>
        <w:lastRenderedPageBreak/>
        <w:t>and filed the 18</w:t>
      </w:r>
      <w:r w:rsidRPr="00D3072B">
        <w:rPr>
          <w:rFonts w:ascii="Times New Roman" w:hAnsi="Times New Roman" w:cs="Times New Roman"/>
          <w:sz w:val="24"/>
          <w:szCs w:val="24"/>
          <w:vertAlign w:val="superscript"/>
        </w:rPr>
        <w:t>th</w:t>
      </w:r>
      <w:r w:rsidRPr="00D3072B">
        <w:rPr>
          <w:rFonts w:ascii="Times New Roman" w:hAnsi="Times New Roman" w:cs="Times New Roman"/>
          <w:sz w:val="24"/>
          <w:szCs w:val="24"/>
        </w:rPr>
        <w:t xml:space="preserve"> day of March 2019. After the usual exchanges and arguments on the preliminary issues taken, the matter went into full trial and parties filed and adopted their final </w:t>
      </w:r>
      <w:r>
        <w:rPr>
          <w:rFonts w:ascii="Times New Roman" w:hAnsi="Times New Roman" w:cs="Times New Roman"/>
          <w:sz w:val="24"/>
          <w:szCs w:val="24"/>
        </w:rPr>
        <w:t>w</w:t>
      </w:r>
      <w:r w:rsidRPr="00D3072B">
        <w:rPr>
          <w:rFonts w:ascii="Times New Roman" w:hAnsi="Times New Roman" w:cs="Times New Roman"/>
          <w:sz w:val="24"/>
          <w:szCs w:val="24"/>
        </w:rPr>
        <w:t xml:space="preserve">ritten </w:t>
      </w:r>
      <w:r>
        <w:rPr>
          <w:rFonts w:ascii="Times New Roman" w:hAnsi="Times New Roman" w:cs="Times New Roman"/>
          <w:sz w:val="24"/>
          <w:szCs w:val="24"/>
        </w:rPr>
        <w:t>a</w:t>
      </w:r>
      <w:r w:rsidRPr="00D3072B">
        <w:rPr>
          <w:rFonts w:ascii="Times New Roman" w:hAnsi="Times New Roman" w:cs="Times New Roman"/>
          <w:sz w:val="24"/>
          <w:szCs w:val="24"/>
        </w:rPr>
        <w:t>ddresses on 21</w:t>
      </w:r>
      <w:r w:rsidRPr="00D3072B">
        <w:rPr>
          <w:rFonts w:ascii="Times New Roman" w:hAnsi="Times New Roman" w:cs="Times New Roman"/>
          <w:sz w:val="24"/>
          <w:szCs w:val="24"/>
          <w:vertAlign w:val="superscript"/>
        </w:rPr>
        <w:t>st</w:t>
      </w:r>
      <w:r w:rsidRPr="00D3072B">
        <w:rPr>
          <w:rFonts w:ascii="Times New Roman" w:hAnsi="Times New Roman" w:cs="Times New Roman"/>
          <w:sz w:val="24"/>
          <w:szCs w:val="24"/>
        </w:rPr>
        <w:t xml:space="preserve"> August 2019. Two of the issues canvassed for the determination of the Court were relate</w:t>
      </w:r>
      <w:r>
        <w:rPr>
          <w:rFonts w:ascii="Times New Roman" w:hAnsi="Times New Roman" w:cs="Times New Roman"/>
          <w:sz w:val="24"/>
          <w:szCs w:val="24"/>
        </w:rPr>
        <w:t>d</w:t>
      </w:r>
      <w:r w:rsidRPr="00D3072B">
        <w:rPr>
          <w:rFonts w:ascii="Times New Roman" w:hAnsi="Times New Roman" w:cs="Times New Roman"/>
          <w:sz w:val="24"/>
          <w:szCs w:val="24"/>
        </w:rPr>
        <w:t xml:space="preserve"> to the use of electronic devices for the conduct of </w:t>
      </w:r>
      <w:r>
        <w:rPr>
          <w:rFonts w:ascii="Times New Roman" w:hAnsi="Times New Roman" w:cs="Times New Roman"/>
          <w:sz w:val="24"/>
          <w:szCs w:val="24"/>
        </w:rPr>
        <w:t>the election. These issues were:</w:t>
      </w:r>
    </w:p>
    <w:p w:rsidR="00047BFF" w:rsidRDefault="00047BFF" w:rsidP="00D6148B">
      <w:pPr>
        <w:pStyle w:val="ListParagraph"/>
        <w:numPr>
          <w:ilvl w:val="0"/>
          <w:numId w:val="14"/>
        </w:numPr>
        <w:spacing w:line="240" w:lineRule="auto"/>
        <w:jc w:val="both"/>
        <w:rPr>
          <w:rFonts w:ascii="Times New Roman" w:hAnsi="Times New Roman" w:cs="Times New Roman"/>
          <w:sz w:val="24"/>
          <w:szCs w:val="24"/>
        </w:rPr>
      </w:pPr>
      <w:r w:rsidRPr="00636661">
        <w:rPr>
          <w:rFonts w:ascii="Times New Roman" w:hAnsi="Times New Roman" w:cs="Times New Roman"/>
          <w:sz w:val="24"/>
          <w:szCs w:val="24"/>
        </w:rPr>
        <w:t>Whether the presidential election conducted by the 1st respondent on 23</w:t>
      </w:r>
      <w:r w:rsidRPr="00636661">
        <w:rPr>
          <w:rFonts w:ascii="Times New Roman" w:hAnsi="Times New Roman" w:cs="Times New Roman"/>
          <w:sz w:val="24"/>
          <w:szCs w:val="24"/>
          <w:vertAlign w:val="superscript"/>
        </w:rPr>
        <w:t>rd</w:t>
      </w:r>
      <w:r w:rsidRPr="00636661">
        <w:rPr>
          <w:rFonts w:ascii="Times New Roman" w:hAnsi="Times New Roman" w:cs="Times New Roman"/>
          <w:sz w:val="24"/>
          <w:szCs w:val="24"/>
        </w:rPr>
        <w:t xml:space="preserve"> February, 2019 was invalid by reason of corrupt practices.</w:t>
      </w:r>
    </w:p>
    <w:p w:rsidR="00D6148B" w:rsidRDefault="00D6148B" w:rsidP="00D6148B">
      <w:pPr>
        <w:pStyle w:val="ListParagraph"/>
        <w:spacing w:line="240" w:lineRule="auto"/>
        <w:ind w:left="1498"/>
        <w:jc w:val="both"/>
        <w:rPr>
          <w:rFonts w:ascii="Times New Roman" w:hAnsi="Times New Roman" w:cs="Times New Roman"/>
          <w:sz w:val="24"/>
          <w:szCs w:val="24"/>
        </w:rPr>
      </w:pPr>
    </w:p>
    <w:p w:rsidR="00047BFF" w:rsidRPr="00636661" w:rsidRDefault="00047BFF" w:rsidP="00D6148B">
      <w:pPr>
        <w:pStyle w:val="ListParagraph"/>
        <w:numPr>
          <w:ilvl w:val="0"/>
          <w:numId w:val="14"/>
        </w:numPr>
        <w:spacing w:line="240" w:lineRule="auto"/>
        <w:jc w:val="both"/>
        <w:rPr>
          <w:rFonts w:ascii="Times New Roman" w:hAnsi="Times New Roman" w:cs="Times New Roman"/>
          <w:sz w:val="24"/>
          <w:szCs w:val="24"/>
        </w:rPr>
      </w:pPr>
      <w:r w:rsidRPr="00636661">
        <w:rPr>
          <w:rFonts w:ascii="Times New Roman" w:hAnsi="Times New Roman" w:cs="Times New Roman"/>
          <w:sz w:val="24"/>
          <w:szCs w:val="24"/>
        </w:rPr>
        <w:t>Whether the presidential election conducted by the 1</w:t>
      </w:r>
      <w:r w:rsidRPr="00636661">
        <w:rPr>
          <w:rFonts w:ascii="Times New Roman" w:hAnsi="Times New Roman" w:cs="Times New Roman"/>
          <w:sz w:val="24"/>
          <w:szCs w:val="24"/>
          <w:vertAlign w:val="superscript"/>
        </w:rPr>
        <w:t>st</w:t>
      </w:r>
      <w:r w:rsidRPr="00636661">
        <w:rPr>
          <w:rFonts w:ascii="Times New Roman" w:hAnsi="Times New Roman" w:cs="Times New Roman"/>
          <w:sz w:val="24"/>
          <w:szCs w:val="24"/>
        </w:rPr>
        <w:t xml:space="preserve"> Respondent on 23</w:t>
      </w:r>
      <w:r w:rsidRPr="00636661">
        <w:rPr>
          <w:rFonts w:ascii="Times New Roman" w:hAnsi="Times New Roman" w:cs="Times New Roman"/>
          <w:sz w:val="24"/>
          <w:szCs w:val="24"/>
          <w:vertAlign w:val="superscript"/>
        </w:rPr>
        <w:t>rd</w:t>
      </w:r>
      <w:r w:rsidRPr="00636661">
        <w:rPr>
          <w:rFonts w:ascii="Times New Roman" w:hAnsi="Times New Roman" w:cs="Times New Roman"/>
          <w:sz w:val="24"/>
          <w:szCs w:val="24"/>
        </w:rPr>
        <w:t xml:space="preserve"> February, 2019 was invalid by reason of non-compliance with the Electoral Act</w:t>
      </w:r>
      <w:r>
        <w:rPr>
          <w:rFonts w:ascii="Times New Roman" w:hAnsi="Times New Roman" w:cs="Times New Roman"/>
          <w:sz w:val="24"/>
          <w:szCs w:val="24"/>
        </w:rPr>
        <w:t>,</w:t>
      </w:r>
      <w:r w:rsidRPr="00153F7E">
        <w:rPr>
          <w:vertAlign w:val="superscript"/>
        </w:rPr>
        <w:footnoteReference w:id="22"/>
      </w:r>
      <w:r w:rsidRPr="00636661">
        <w:rPr>
          <w:rFonts w:ascii="Times New Roman" w:hAnsi="Times New Roman" w:cs="Times New Roman"/>
          <w:sz w:val="24"/>
          <w:szCs w:val="24"/>
        </w:rPr>
        <w:t xml:space="preserve"> a</w:t>
      </w:r>
      <w:r>
        <w:rPr>
          <w:rFonts w:ascii="Times New Roman" w:hAnsi="Times New Roman" w:cs="Times New Roman"/>
          <w:sz w:val="24"/>
          <w:szCs w:val="24"/>
        </w:rPr>
        <w:t>s well as</w:t>
      </w:r>
      <w:r w:rsidRPr="00636661">
        <w:rPr>
          <w:rFonts w:ascii="Times New Roman" w:hAnsi="Times New Roman" w:cs="Times New Roman"/>
          <w:sz w:val="24"/>
          <w:szCs w:val="24"/>
        </w:rPr>
        <w:t xml:space="preserve"> the electoral guidelines 2019 and manuals issued for the conduct of elections.</w:t>
      </w:r>
    </w:p>
    <w:p w:rsidR="00047BFF" w:rsidRPr="000C7B88" w:rsidRDefault="00047BFF" w:rsidP="00286CE5">
      <w:pPr>
        <w:spacing w:line="480" w:lineRule="auto"/>
        <w:jc w:val="both"/>
        <w:rPr>
          <w:rFonts w:ascii="Times New Roman" w:hAnsi="Times New Roman" w:cs="Times New Roman"/>
          <w:sz w:val="24"/>
          <w:szCs w:val="24"/>
        </w:rPr>
      </w:pPr>
      <w:r w:rsidRPr="000C7B88">
        <w:rPr>
          <w:rFonts w:ascii="Times New Roman" w:hAnsi="Times New Roman" w:cs="Times New Roman"/>
          <w:sz w:val="24"/>
          <w:szCs w:val="24"/>
        </w:rPr>
        <w:t xml:space="preserve">It </w:t>
      </w:r>
      <w:r>
        <w:rPr>
          <w:rFonts w:ascii="Times New Roman" w:hAnsi="Times New Roman" w:cs="Times New Roman"/>
          <w:sz w:val="24"/>
          <w:szCs w:val="24"/>
        </w:rPr>
        <w:t>wa</w:t>
      </w:r>
      <w:r w:rsidRPr="000C7B88">
        <w:rPr>
          <w:rFonts w:ascii="Times New Roman" w:hAnsi="Times New Roman" w:cs="Times New Roman"/>
          <w:sz w:val="24"/>
          <w:szCs w:val="24"/>
        </w:rPr>
        <w:t>s obvious that the issues for determination centred on electronic transmission.</w:t>
      </w:r>
    </w:p>
    <w:p w:rsidR="00047BFF" w:rsidRDefault="00047BFF" w:rsidP="00286CE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047BFF" w:rsidRPr="00C17A64" w:rsidRDefault="00047BFF" w:rsidP="00286CE5">
      <w:pPr>
        <w:spacing w:line="480" w:lineRule="auto"/>
        <w:jc w:val="both"/>
        <w:rPr>
          <w:rFonts w:ascii="Times New Roman" w:hAnsi="Times New Roman" w:cs="Times New Roman"/>
          <w:sz w:val="24"/>
          <w:szCs w:val="24"/>
        </w:rPr>
      </w:pPr>
      <w:r w:rsidRPr="000C7B88">
        <w:rPr>
          <w:rFonts w:ascii="Times New Roman" w:hAnsi="Times New Roman" w:cs="Times New Roman"/>
          <w:sz w:val="24"/>
          <w:szCs w:val="24"/>
        </w:rPr>
        <w:t xml:space="preserve">Furthermore, the relevance of smart card readers and collation of results </w:t>
      </w:r>
      <w:r>
        <w:rPr>
          <w:rFonts w:ascii="Times New Roman" w:hAnsi="Times New Roman" w:cs="Times New Roman"/>
          <w:sz w:val="24"/>
          <w:szCs w:val="24"/>
        </w:rPr>
        <w:t xml:space="preserve">was also called for determination of the court. </w:t>
      </w:r>
      <w:r w:rsidRPr="00C17A64">
        <w:rPr>
          <w:rFonts w:ascii="Times New Roman" w:hAnsi="Times New Roman" w:cs="Times New Roman"/>
          <w:sz w:val="24"/>
          <w:szCs w:val="24"/>
        </w:rPr>
        <w:t xml:space="preserve">It is important to mention </w:t>
      </w:r>
      <w:r>
        <w:rPr>
          <w:rFonts w:ascii="Times New Roman" w:hAnsi="Times New Roman" w:cs="Times New Roman"/>
          <w:sz w:val="24"/>
          <w:szCs w:val="24"/>
        </w:rPr>
        <w:t>that</w:t>
      </w:r>
      <w:r w:rsidRPr="00C17A64">
        <w:rPr>
          <w:rFonts w:ascii="Times New Roman" w:hAnsi="Times New Roman" w:cs="Times New Roman"/>
          <w:sz w:val="24"/>
          <w:szCs w:val="24"/>
        </w:rPr>
        <w:t xml:space="preserve"> the electronic device in use as at this period was the </w:t>
      </w:r>
      <w:r>
        <w:rPr>
          <w:rFonts w:ascii="Times New Roman" w:hAnsi="Times New Roman" w:cs="Times New Roman"/>
          <w:sz w:val="24"/>
          <w:szCs w:val="24"/>
        </w:rPr>
        <w:t>‘</w:t>
      </w:r>
      <w:r w:rsidRPr="00C17A64">
        <w:rPr>
          <w:rFonts w:ascii="Times New Roman" w:hAnsi="Times New Roman" w:cs="Times New Roman"/>
          <w:sz w:val="24"/>
          <w:szCs w:val="24"/>
        </w:rPr>
        <w:t>Smart Card Reader and the central servers.</w:t>
      </w:r>
      <w:r>
        <w:rPr>
          <w:rFonts w:ascii="Times New Roman" w:hAnsi="Times New Roman" w:cs="Times New Roman"/>
          <w:sz w:val="24"/>
          <w:szCs w:val="24"/>
        </w:rPr>
        <w:t>’</w:t>
      </w:r>
      <w:r w:rsidRPr="00C17A64">
        <w:rPr>
          <w:rFonts w:ascii="Times New Roman" w:hAnsi="Times New Roman" w:cs="Times New Roman"/>
          <w:sz w:val="24"/>
          <w:szCs w:val="24"/>
        </w:rPr>
        <w:t xml:space="preserve"> In distilling the issues, the </w:t>
      </w:r>
      <w:r>
        <w:rPr>
          <w:rFonts w:ascii="Times New Roman" w:hAnsi="Times New Roman" w:cs="Times New Roman"/>
          <w:sz w:val="24"/>
          <w:szCs w:val="24"/>
        </w:rPr>
        <w:t>c</w:t>
      </w:r>
      <w:r w:rsidRPr="00C17A64">
        <w:rPr>
          <w:rFonts w:ascii="Times New Roman" w:hAnsi="Times New Roman" w:cs="Times New Roman"/>
          <w:sz w:val="24"/>
          <w:szCs w:val="24"/>
        </w:rPr>
        <w:t xml:space="preserve">ourt </w:t>
      </w:r>
      <w:r>
        <w:rPr>
          <w:rFonts w:ascii="Times New Roman" w:hAnsi="Times New Roman" w:cs="Times New Roman"/>
          <w:sz w:val="24"/>
          <w:szCs w:val="24"/>
        </w:rPr>
        <w:t xml:space="preserve">responded to </w:t>
      </w:r>
      <w:r w:rsidRPr="00C17A64">
        <w:rPr>
          <w:rFonts w:ascii="Times New Roman" w:hAnsi="Times New Roman" w:cs="Times New Roman"/>
          <w:sz w:val="24"/>
          <w:szCs w:val="24"/>
        </w:rPr>
        <w:t>the ques</w:t>
      </w:r>
      <w:r>
        <w:rPr>
          <w:rFonts w:ascii="Times New Roman" w:hAnsi="Times New Roman" w:cs="Times New Roman"/>
          <w:sz w:val="24"/>
          <w:szCs w:val="24"/>
        </w:rPr>
        <w:t>tion on the burden placed on a p</w:t>
      </w:r>
      <w:r w:rsidRPr="00C17A64">
        <w:rPr>
          <w:rFonts w:ascii="Times New Roman" w:hAnsi="Times New Roman" w:cs="Times New Roman"/>
          <w:sz w:val="24"/>
          <w:szCs w:val="24"/>
        </w:rPr>
        <w:t xml:space="preserve">etitioner to prove that smart card readers and a central </w:t>
      </w:r>
      <w:r>
        <w:rPr>
          <w:rFonts w:ascii="Times New Roman" w:hAnsi="Times New Roman" w:cs="Times New Roman"/>
          <w:sz w:val="24"/>
          <w:szCs w:val="24"/>
        </w:rPr>
        <w:t>server were used in an election.</w:t>
      </w:r>
      <w:r w:rsidRPr="00C17A64">
        <w:rPr>
          <w:rFonts w:ascii="Times New Roman" w:hAnsi="Times New Roman" w:cs="Times New Roman"/>
          <w:sz w:val="24"/>
          <w:szCs w:val="24"/>
        </w:rPr>
        <w:t xml:space="preserve"> </w:t>
      </w:r>
      <w:r>
        <w:rPr>
          <w:rFonts w:ascii="Times New Roman" w:hAnsi="Times New Roman" w:cs="Times New Roman"/>
          <w:sz w:val="24"/>
          <w:szCs w:val="24"/>
        </w:rPr>
        <w:t xml:space="preserve">Significantly, the </w:t>
      </w:r>
      <w:r w:rsidRPr="00C17A64">
        <w:rPr>
          <w:rFonts w:ascii="Times New Roman" w:hAnsi="Times New Roman" w:cs="Times New Roman"/>
          <w:sz w:val="24"/>
          <w:szCs w:val="24"/>
        </w:rPr>
        <w:t xml:space="preserve">relevance of smart card readers and collation of results </w:t>
      </w:r>
      <w:r>
        <w:rPr>
          <w:rFonts w:ascii="Times New Roman" w:hAnsi="Times New Roman" w:cs="Times New Roman"/>
          <w:sz w:val="24"/>
          <w:szCs w:val="24"/>
        </w:rPr>
        <w:t xml:space="preserve">were construed to be </w:t>
      </w:r>
      <w:r w:rsidRPr="00C17A64">
        <w:rPr>
          <w:rFonts w:ascii="Times New Roman" w:hAnsi="Times New Roman" w:cs="Times New Roman"/>
          <w:sz w:val="24"/>
          <w:szCs w:val="24"/>
        </w:rPr>
        <w:t>dependent on the content or use of Smart Card Readers in the following</w:t>
      </w:r>
      <w:r>
        <w:rPr>
          <w:rFonts w:ascii="Times New Roman" w:hAnsi="Times New Roman" w:cs="Times New Roman"/>
          <w:sz w:val="24"/>
          <w:szCs w:val="24"/>
        </w:rPr>
        <w:t>:</w:t>
      </w:r>
    </w:p>
    <w:p w:rsidR="00047BFF" w:rsidRDefault="00047BFF" w:rsidP="00D6148B">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r w:rsidRPr="001D6DEE">
        <w:rPr>
          <w:rFonts w:ascii="Times New Roman" w:hAnsi="Times New Roman" w:cs="Times New Roman"/>
          <w:sz w:val="24"/>
          <w:szCs w:val="24"/>
        </w:rPr>
        <w:t>In an election to the office of the President or Governor whether or not contested in any contested election to any other elective office, the result shall be ascertained by counting the votes cast for each candidate and subject to the provisions of Sections 133, 134 and 179 of the Constitution, the candidate that receives the highest number of votes shall be declared elected by the app</w:t>
      </w:r>
      <w:r>
        <w:rPr>
          <w:rFonts w:ascii="Times New Roman" w:hAnsi="Times New Roman" w:cs="Times New Roman"/>
          <w:sz w:val="24"/>
          <w:szCs w:val="24"/>
        </w:rPr>
        <w:t>ropriate Returning Officer. Section 74 provides that</w:t>
      </w:r>
      <w:r w:rsidRPr="001D6DEE">
        <w:rPr>
          <w:rFonts w:ascii="Times New Roman" w:hAnsi="Times New Roman" w:cs="Times New Roman"/>
          <w:sz w:val="24"/>
          <w:szCs w:val="24"/>
        </w:rPr>
        <w:t xml:space="preserve"> </w:t>
      </w:r>
      <w:r>
        <w:rPr>
          <w:rFonts w:ascii="Times New Roman" w:hAnsi="Times New Roman" w:cs="Times New Roman"/>
          <w:sz w:val="24"/>
          <w:szCs w:val="24"/>
        </w:rPr>
        <w:t>e</w:t>
      </w:r>
      <w:r w:rsidRPr="001D6DEE">
        <w:rPr>
          <w:rFonts w:ascii="Times New Roman" w:hAnsi="Times New Roman" w:cs="Times New Roman"/>
          <w:sz w:val="24"/>
          <w:szCs w:val="24"/>
        </w:rPr>
        <w:t xml:space="preserve">very </w:t>
      </w:r>
      <w:r>
        <w:rPr>
          <w:rFonts w:ascii="Times New Roman" w:hAnsi="Times New Roman" w:cs="Times New Roman"/>
          <w:sz w:val="24"/>
          <w:szCs w:val="24"/>
        </w:rPr>
        <w:t>r</w:t>
      </w:r>
      <w:r w:rsidRPr="001D6DEE">
        <w:rPr>
          <w:rFonts w:ascii="Times New Roman" w:hAnsi="Times New Roman" w:cs="Times New Roman"/>
          <w:sz w:val="24"/>
          <w:szCs w:val="24"/>
        </w:rPr>
        <w:t xml:space="preserve">esult </w:t>
      </w:r>
      <w:r>
        <w:rPr>
          <w:rFonts w:ascii="Times New Roman" w:hAnsi="Times New Roman" w:cs="Times New Roman"/>
          <w:sz w:val="24"/>
          <w:szCs w:val="24"/>
        </w:rPr>
        <w:t>f</w:t>
      </w:r>
      <w:r w:rsidRPr="001D6DEE">
        <w:rPr>
          <w:rFonts w:ascii="Times New Roman" w:hAnsi="Times New Roman" w:cs="Times New Roman"/>
          <w:sz w:val="24"/>
          <w:szCs w:val="24"/>
        </w:rPr>
        <w:t xml:space="preserve">orm completed at the Ward, Local Government, State and National levels in accordance with the provision of this Act or any Guidelines issued by the Commission shall be stamped, signed and counter-signed by the relevant officers and </w:t>
      </w:r>
      <w:r w:rsidRPr="001D6DEE">
        <w:rPr>
          <w:rFonts w:ascii="Times New Roman" w:hAnsi="Times New Roman" w:cs="Times New Roman"/>
          <w:sz w:val="24"/>
          <w:szCs w:val="24"/>
        </w:rPr>
        <w:lastRenderedPageBreak/>
        <w:t>polling agents at those levels and copies given to the police officers and the polling agents, where available.</w:t>
      </w:r>
      <w:r>
        <w:rPr>
          <w:rStyle w:val="FootnoteReference"/>
          <w:rFonts w:ascii="Times New Roman" w:hAnsi="Times New Roman" w:cs="Times New Roman"/>
          <w:sz w:val="24"/>
          <w:szCs w:val="24"/>
        </w:rPr>
        <w:footnoteReference w:id="23"/>
      </w:r>
      <w:r w:rsidRPr="001D6DEE">
        <w:rPr>
          <w:rFonts w:ascii="Times New Roman" w:hAnsi="Times New Roman" w:cs="Times New Roman"/>
          <w:sz w:val="24"/>
          <w:szCs w:val="24"/>
        </w:rPr>
        <w:t xml:space="preserve"> </w:t>
      </w:r>
    </w:p>
    <w:p w:rsidR="00D6148B" w:rsidRDefault="00D6148B" w:rsidP="00D6148B">
      <w:pPr>
        <w:spacing w:after="0" w:line="240" w:lineRule="auto"/>
        <w:ind w:left="720" w:right="720"/>
        <w:jc w:val="both"/>
        <w:rPr>
          <w:rFonts w:ascii="Times New Roman" w:hAnsi="Times New Roman" w:cs="Times New Roman"/>
          <w:sz w:val="24"/>
          <w:szCs w:val="24"/>
        </w:rPr>
      </w:pPr>
    </w:p>
    <w:p w:rsidR="00047BFF" w:rsidRDefault="00047BFF" w:rsidP="00286CE5">
      <w:pPr>
        <w:spacing w:line="480" w:lineRule="auto"/>
        <w:jc w:val="both"/>
        <w:rPr>
          <w:rFonts w:ascii="Times New Roman" w:hAnsi="Times New Roman" w:cs="Times New Roman"/>
          <w:sz w:val="24"/>
          <w:szCs w:val="24"/>
        </w:rPr>
      </w:pPr>
      <w:r>
        <w:rPr>
          <w:rFonts w:ascii="Times New Roman" w:hAnsi="Times New Roman" w:cs="Times New Roman"/>
          <w:sz w:val="24"/>
          <w:szCs w:val="24"/>
        </w:rPr>
        <w:t>It therefore follows that t</w:t>
      </w:r>
      <w:r w:rsidRPr="001D6DEE">
        <w:rPr>
          <w:rFonts w:ascii="Times New Roman" w:hAnsi="Times New Roman" w:cs="Times New Roman"/>
          <w:sz w:val="24"/>
          <w:szCs w:val="24"/>
        </w:rPr>
        <w:t>he resultant effect of the above is that collation of results are to be done manually and declaration of such results are to flow from the figures as entered in the relevant forms at various levels of collection. It is not dependent on the content or use of a smart card Reader for the transmission of election results. Hence Section 74 specifically provided that every result form completed at the polling unit, ward, local government, state and national levels shall be stamped, signed and countersigned by the relevant officers and polling agents at those levels and copies given to the police officers and p</w:t>
      </w:r>
      <w:r>
        <w:rPr>
          <w:rFonts w:ascii="Times New Roman" w:hAnsi="Times New Roman" w:cs="Times New Roman"/>
          <w:sz w:val="24"/>
          <w:szCs w:val="24"/>
        </w:rPr>
        <w:t>olling agents where available.</w:t>
      </w:r>
      <w:r>
        <w:rPr>
          <w:rStyle w:val="FootnoteReference"/>
          <w:rFonts w:ascii="Times New Roman" w:hAnsi="Times New Roman" w:cs="Times New Roman"/>
          <w:sz w:val="24"/>
          <w:szCs w:val="24"/>
        </w:rPr>
        <w:footnoteReference w:id="24"/>
      </w:r>
      <w:r w:rsidRPr="001D6DEE">
        <w:rPr>
          <w:rFonts w:ascii="Times New Roman" w:hAnsi="Times New Roman" w:cs="Times New Roman"/>
          <w:sz w:val="24"/>
          <w:szCs w:val="24"/>
        </w:rPr>
        <w:t xml:space="preserve"> </w:t>
      </w:r>
    </w:p>
    <w:p w:rsidR="00047BFF" w:rsidRDefault="00047BFF" w:rsidP="00286CE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INEC is also vested with </w:t>
      </w:r>
      <w:r w:rsidRPr="000400E4">
        <w:rPr>
          <w:rFonts w:ascii="Times New Roman" w:hAnsi="Times New Roman" w:cs="Times New Roman"/>
          <w:sz w:val="24"/>
          <w:szCs w:val="24"/>
        </w:rPr>
        <w:t>powers to transmit the result of an election from all the Polling Units across the Nation via Smart Card Readers</w:t>
      </w:r>
      <w:r>
        <w:rPr>
          <w:rFonts w:ascii="Times New Roman" w:hAnsi="Times New Roman" w:cs="Times New Roman"/>
          <w:sz w:val="24"/>
          <w:szCs w:val="24"/>
        </w:rPr>
        <w:t>. Following this provision, t</w:t>
      </w:r>
      <w:r w:rsidRPr="00FE64ED">
        <w:rPr>
          <w:rFonts w:ascii="Times New Roman" w:hAnsi="Times New Roman" w:cs="Times New Roman"/>
          <w:sz w:val="24"/>
          <w:szCs w:val="24"/>
        </w:rPr>
        <w:t xml:space="preserve">he </w:t>
      </w:r>
      <w:r>
        <w:rPr>
          <w:rFonts w:ascii="Times New Roman" w:hAnsi="Times New Roman" w:cs="Times New Roman"/>
          <w:sz w:val="24"/>
          <w:szCs w:val="24"/>
        </w:rPr>
        <w:t>c</w:t>
      </w:r>
      <w:r w:rsidRPr="00FE64ED">
        <w:rPr>
          <w:rFonts w:ascii="Times New Roman" w:hAnsi="Times New Roman" w:cs="Times New Roman"/>
          <w:sz w:val="24"/>
          <w:szCs w:val="24"/>
        </w:rPr>
        <w:t xml:space="preserve">ourt espoused a clear position on </w:t>
      </w:r>
      <w:r>
        <w:rPr>
          <w:rFonts w:ascii="Times New Roman" w:hAnsi="Times New Roman" w:cs="Times New Roman"/>
          <w:sz w:val="24"/>
          <w:szCs w:val="24"/>
        </w:rPr>
        <w:t xml:space="preserve">the interpretation of the </w:t>
      </w:r>
      <w:r w:rsidRPr="00FE64ED">
        <w:rPr>
          <w:rFonts w:ascii="Times New Roman" w:hAnsi="Times New Roman" w:cs="Times New Roman"/>
          <w:sz w:val="24"/>
          <w:szCs w:val="24"/>
        </w:rPr>
        <w:t>use of Sm</w:t>
      </w:r>
      <w:r>
        <w:rPr>
          <w:rFonts w:ascii="Times New Roman" w:hAnsi="Times New Roman" w:cs="Times New Roman"/>
          <w:sz w:val="24"/>
          <w:szCs w:val="24"/>
        </w:rPr>
        <w:t>art Card Readers in an election,</w:t>
      </w:r>
      <w:r w:rsidRPr="00FE64ED">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FE64ED">
        <w:rPr>
          <w:rFonts w:ascii="Times New Roman" w:hAnsi="Times New Roman" w:cs="Times New Roman"/>
          <w:sz w:val="24"/>
          <w:szCs w:val="24"/>
        </w:rPr>
        <w:t>whether section 52</w:t>
      </w:r>
      <w:r>
        <w:rPr>
          <w:rFonts w:ascii="Times New Roman" w:hAnsi="Times New Roman" w:cs="Times New Roman"/>
          <w:sz w:val="24"/>
          <w:szCs w:val="24"/>
        </w:rPr>
        <w:t xml:space="preserve"> </w:t>
      </w:r>
      <w:r w:rsidRPr="00FE64ED">
        <w:rPr>
          <w:rFonts w:ascii="Times New Roman" w:hAnsi="Times New Roman" w:cs="Times New Roman"/>
          <w:sz w:val="24"/>
          <w:szCs w:val="24"/>
        </w:rPr>
        <w:t>(2) of the Electoral Act</w:t>
      </w:r>
      <w:r w:rsidRPr="00153F7E">
        <w:rPr>
          <w:vertAlign w:val="superscript"/>
        </w:rPr>
        <w:footnoteReference w:id="25"/>
      </w:r>
      <w:r w:rsidRPr="00FE64ED">
        <w:rPr>
          <w:rFonts w:ascii="Times New Roman" w:hAnsi="Times New Roman" w:cs="Times New Roman"/>
          <w:sz w:val="24"/>
          <w:szCs w:val="24"/>
        </w:rPr>
        <w:t xml:space="preserve"> empowers INEC to transmit the result of an election from all the Polling Units across the Nation via Smart Card Readers into INEC server</w:t>
      </w:r>
      <w:r>
        <w:rPr>
          <w:rFonts w:ascii="Times New Roman" w:hAnsi="Times New Roman" w:cs="Times New Roman"/>
          <w:sz w:val="24"/>
          <w:szCs w:val="24"/>
        </w:rPr>
        <w:t>. The court observed that f</w:t>
      </w:r>
      <w:r w:rsidRPr="006B2599">
        <w:rPr>
          <w:rFonts w:ascii="Times New Roman" w:hAnsi="Times New Roman" w:cs="Times New Roman"/>
          <w:sz w:val="24"/>
          <w:szCs w:val="24"/>
        </w:rPr>
        <w:t xml:space="preserve">or the umpteenth time the recent decision on the point in Mahmud </w:t>
      </w:r>
      <w:proofErr w:type="spellStart"/>
      <w:r w:rsidRPr="006B2599">
        <w:rPr>
          <w:rFonts w:ascii="Times New Roman" w:hAnsi="Times New Roman" w:cs="Times New Roman"/>
          <w:sz w:val="24"/>
          <w:szCs w:val="24"/>
        </w:rPr>
        <w:t>Aliyu</w:t>
      </w:r>
      <w:proofErr w:type="spellEnd"/>
      <w:r w:rsidRPr="006B2599">
        <w:rPr>
          <w:rFonts w:ascii="Times New Roman" w:hAnsi="Times New Roman" w:cs="Times New Roman"/>
          <w:sz w:val="24"/>
          <w:szCs w:val="24"/>
        </w:rPr>
        <w:t xml:space="preserve"> </w:t>
      </w:r>
      <w:proofErr w:type="spellStart"/>
      <w:r w:rsidRPr="006B2599">
        <w:rPr>
          <w:rFonts w:ascii="Times New Roman" w:hAnsi="Times New Roman" w:cs="Times New Roman"/>
          <w:sz w:val="24"/>
          <w:szCs w:val="24"/>
        </w:rPr>
        <w:t>Shinkafi</w:t>
      </w:r>
      <w:proofErr w:type="spellEnd"/>
      <w:r w:rsidRPr="006B2599">
        <w:rPr>
          <w:rFonts w:ascii="Times New Roman" w:hAnsi="Times New Roman" w:cs="Times New Roman"/>
          <w:sz w:val="24"/>
          <w:szCs w:val="24"/>
        </w:rPr>
        <w:t xml:space="preserve">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Anor</w:t>
      </w:r>
      <w:proofErr w:type="spellEnd"/>
      <w:r>
        <w:rPr>
          <w:rFonts w:ascii="Times New Roman" w:hAnsi="Times New Roman" w:cs="Times New Roman"/>
          <w:sz w:val="24"/>
          <w:szCs w:val="24"/>
        </w:rPr>
        <w:t xml:space="preserve"> v</w:t>
      </w:r>
      <w:r w:rsidRPr="006B2599">
        <w:rPr>
          <w:rFonts w:ascii="Times New Roman" w:hAnsi="Times New Roman" w:cs="Times New Roman"/>
          <w:sz w:val="24"/>
          <w:szCs w:val="24"/>
        </w:rPr>
        <w:t xml:space="preserve"> Abdul-</w:t>
      </w:r>
      <w:proofErr w:type="spellStart"/>
      <w:r>
        <w:rPr>
          <w:rFonts w:ascii="Times New Roman" w:hAnsi="Times New Roman" w:cs="Times New Roman"/>
          <w:sz w:val="24"/>
          <w:szCs w:val="24"/>
        </w:rPr>
        <w:t>Azeez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Abubakaryari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Ors</w:t>
      </w:r>
      <w:proofErr w:type="spellEnd"/>
      <w:r>
        <w:rPr>
          <w:rStyle w:val="FootnoteReference"/>
          <w:rFonts w:ascii="Times New Roman" w:hAnsi="Times New Roman" w:cs="Times New Roman"/>
          <w:sz w:val="24"/>
          <w:szCs w:val="24"/>
        </w:rPr>
        <w:footnoteReference w:id="26"/>
      </w:r>
      <w:r w:rsidRPr="006B2599">
        <w:rPr>
          <w:rFonts w:ascii="Times New Roman" w:hAnsi="Times New Roman" w:cs="Times New Roman"/>
          <w:sz w:val="24"/>
          <w:szCs w:val="24"/>
        </w:rPr>
        <w:t xml:space="preserve"> has settled the issue beyond resurrection.</w:t>
      </w:r>
      <w:r>
        <w:rPr>
          <w:rFonts w:ascii="Times New Roman" w:hAnsi="Times New Roman" w:cs="Times New Roman"/>
          <w:sz w:val="24"/>
          <w:szCs w:val="24"/>
        </w:rPr>
        <w:t xml:space="preserve"> Further, </w:t>
      </w:r>
      <w:proofErr w:type="spellStart"/>
      <w:r w:rsidRPr="006B2599">
        <w:rPr>
          <w:rFonts w:ascii="Times New Roman" w:hAnsi="Times New Roman" w:cs="Times New Roman"/>
          <w:sz w:val="24"/>
          <w:szCs w:val="24"/>
        </w:rPr>
        <w:t>U</w:t>
      </w:r>
      <w:r>
        <w:rPr>
          <w:rFonts w:ascii="Times New Roman" w:hAnsi="Times New Roman" w:cs="Times New Roman"/>
          <w:sz w:val="24"/>
          <w:szCs w:val="24"/>
        </w:rPr>
        <w:t>dom</w:t>
      </w:r>
      <w:proofErr w:type="spellEnd"/>
      <w:r>
        <w:rPr>
          <w:rFonts w:ascii="Times New Roman" w:hAnsi="Times New Roman" w:cs="Times New Roman"/>
          <w:sz w:val="24"/>
          <w:szCs w:val="24"/>
        </w:rPr>
        <w:t xml:space="preserve"> </w:t>
      </w:r>
      <w:r w:rsidRPr="006B2599">
        <w:rPr>
          <w:rFonts w:ascii="Times New Roman" w:hAnsi="Times New Roman" w:cs="Times New Roman"/>
          <w:sz w:val="24"/>
          <w:szCs w:val="24"/>
        </w:rPr>
        <w:t>G</w:t>
      </w:r>
      <w:r>
        <w:rPr>
          <w:rFonts w:ascii="Times New Roman" w:hAnsi="Times New Roman" w:cs="Times New Roman"/>
          <w:sz w:val="24"/>
          <w:szCs w:val="24"/>
        </w:rPr>
        <w:t>abriel</w:t>
      </w:r>
      <w:r w:rsidRPr="006B2599">
        <w:rPr>
          <w:rFonts w:ascii="Times New Roman" w:hAnsi="Times New Roman" w:cs="Times New Roman"/>
          <w:sz w:val="24"/>
          <w:szCs w:val="24"/>
        </w:rPr>
        <w:t xml:space="preserve"> E</w:t>
      </w:r>
      <w:r>
        <w:rPr>
          <w:rFonts w:ascii="Times New Roman" w:hAnsi="Times New Roman" w:cs="Times New Roman"/>
          <w:sz w:val="24"/>
          <w:szCs w:val="24"/>
        </w:rPr>
        <w:t xml:space="preserve">mmanuel v </w:t>
      </w:r>
      <w:proofErr w:type="spellStart"/>
      <w:r w:rsidRPr="006B2599">
        <w:rPr>
          <w:rFonts w:ascii="Times New Roman" w:hAnsi="Times New Roman" w:cs="Times New Roman"/>
          <w:sz w:val="24"/>
          <w:szCs w:val="24"/>
        </w:rPr>
        <w:t>U</w:t>
      </w:r>
      <w:r>
        <w:rPr>
          <w:rFonts w:ascii="Times New Roman" w:hAnsi="Times New Roman" w:cs="Times New Roman"/>
          <w:sz w:val="24"/>
          <w:szCs w:val="24"/>
        </w:rPr>
        <w:t>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Umana</w:t>
      </w:r>
      <w:proofErr w:type="spellEnd"/>
      <w:r>
        <w:rPr>
          <w:rFonts w:ascii="Times New Roman" w:hAnsi="Times New Roman" w:cs="Times New Roman"/>
          <w:sz w:val="24"/>
          <w:szCs w:val="24"/>
        </w:rPr>
        <w:t xml:space="preserve"> </w:t>
      </w:r>
      <w:r w:rsidRPr="006B2599">
        <w:rPr>
          <w:rFonts w:ascii="Times New Roman" w:hAnsi="Times New Roman" w:cs="Times New Roman"/>
          <w:sz w:val="24"/>
          <w:szCs w:val="24"/>
        </w:rPr>
        <w:t xml:space="preserve">&amp; </w:t>
      </w:r>
      <w:proofErr w:type="spellStart"/>
      <w:proofErr w:type="gramStart"/>
      <w:r w:rsidRPr="006B2599">
        <w:rPr>
          <w:rFonts w:ascii="Times New Roman" w:hAnsi="Times New Roman" w:cs="Times New Roman"/>
          <w:sz w:val="24"/>
          <w:szCs w:val="24"/>
        </w:rPr>
        <w:t>O</w:t>
      </w:r>
      <w:r>
        <w:rPr>
          <w:rFonts w:ascii="Times New Roman" w:hAnsi="Times New Roman" w:cs="Times New Roman"/>
          <w:sz w:val="24"/>
          <w:szCs w:val="24"/>
        </w:rPr>
        <w:t>rs</w:t>
      </w:r>
      <w:proofErr w:type="spellEnd"/>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27"/>
      </w:r>
      <w:r w:rsidRPr="006B2599">
        <w:rPr>
          <w:rFonts w:ascii="Times New Roman" w:hAnsi="Times New Roman" w:cs="Times New Roman"/>
          <w:sz w:val="24"/>
          <w:szCs w:val="24"/>
        </w:rPr>
        <w:t xml:space="preserve"> now reaffirmed the position of the law</w:t>
      </w:r>
      <w:r>
        <w:rPr>
          <w:rFonts w:ascii="Times New Roman" w:hAnsi="Times New Roman" w:cs="Times New Roman"/>
          <w:sz w:val="24"/>
          <w:szCs w:val="24"/>
        </w:rPr>
        <w:t>.</w:t>
      </w:r>
      <w:r w:rsidRPr="006B2599">
        <w:rPr>
          <w:rFonts w:ascii="Times New Roman" w:hAnsi="Times New Roman" w:cs="Times New Roman"/>
          <w:sz w:val="24"/>
          <w:szCs w:val="24"/>
        </w:rPr>
        <w:t xml:space="preserve"> </w:t>
      </w:r>
    </w:p>
    <w:p w:rsidR="00047BFF" w:rsidRDefault="00047BFF" w:rsidP="00286CE5">
      <w:pPr>
        <w:spacing w:after="0" w:line="480" w:lineRule="auto"/>
        <w:ind w:right="720"/>
        <w:jc w:val="both"/>
        <w:rPr>
          <w:rFonts w:ascii="Times New Roman" w:hAnsi="Times New Roman" w:cs="Times New Roman"/>
          <w:sz w:val="24"/>
          <w:szCs w:val="24"/>
        </w:rPr>
      </w:pPr>
      <w:r w:rsidRPr="00E57AC0">
        <w:rPr>
          <w:rFonts w:ascii="Times New Roman" w:hAnsi="Times New Roman" w:cs="Times New Roman"/>
          <w:sz w:val="24"/>
          <w:szCs w:val="24"/>
        </w:rPr>
        <w:t xml:space="preserve">In </w:t>
      </w:r>
      <w:r>
        <w:rPr>
          <w:rFonts w:ascii="Times New Roman" w:hAnsi="Times New Roman" w:cs="Times New Roman"/>
          <w:sz w:val="24"/>
          <w:szCs w:val="24"/>
        </w:rPr>
        <w:t xml:space="preserve">a recent decision in </w:t>
      </w:r>
      <w:proofErr w:type="spellStart"/>
      <w:r>
        <w:rPr>
          <w:rFonts w:ascii="Times New Roman" w:hAnsi="Times New Roman" w:cs="Times New Roman"/>
          <w:sz w:val="24"/>
          <w:szCs w:val="24"/>
        </w:rPr>
        <w:t>Okereke</w:t>
      </w:r>
      <w:proofErr w:type="spellEnd"/>
      <w:r>
        <w:rPr>
          <w:rFonts w:ascii="Times New Roman" w:hAnsi="Times New Roman" w:cs="Times New Roman"/>
          <w:sz w:val="24"/>
          <w:szCs w:val="24"/>
        </w:rPr>
        <w:t xml:space="preserve"> v</w:t>
      </w:r>
      <w:r w:rsidRPr="00E57AC0">
        <w:rPr>
          <w:rFonts w:ascii="Times New Roman" w:hAnsi="Times New Roman" w:cs="Times New Roman"/>
          <w:sz w:val="24"/>
          <w:szCs w:val="24"/>
        </w:rPr>
        <w:t xml:space="preserve"> </w:t>
      </w:r>
      <w:proofErr w:type="spellStart"/>
      <w:r w:rsidRPr="00E57AC0">
        <w:rPr>
          <w:rFonts w:ascii="Times New Roman" w:hAnsi="Times New Roman" w:cs="Times New Roman"/>
          <w:sz w:val="24"/>
          <w:szCs w:val="24"/>
        </w:rPr>
        <w:t>Umahi</w:t>
      </w:r>
      <w:proofErr w:type="spellEnd"/>
      <w:r w:rsidRPr="00E57AC0">
        <w:rPr>
          <w:rFonts w:ascii="Times New Roman" w:hAnsi="Times New Roman" w:cs="Times New Roman"/>
          <w:sz w:val="24"/>
          <w:szCs w:val="24"/>
        </w:rPr>
        <w:t xml:space="preserve"> and </w:t>
      </w:r>
      <w:proofErr w:type="spellStart"/>
      <w:r w:rsidRPr="00E57AC0">
        <w:rPr>
          <w:rFonts w:ascii="Times New Roman" w:hAnsi="Times New Roman" w:cs="Times New Roman"/>
          <w:sz w:val="24"/>
          <w:szCs w:val="24"/>
        </w:rPr>
        <w:t>Ors</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r w:rsidRPr="00E57AC0">
        <w:rPr>
          <w:rFonts w:ascii="Times New Roman" w:hAnsi="Times New Roman" w:cs="Times New Roman"/>
          <w:sz w:val="24"/>
          <w:szCs w:val="24"/>
        </w:rPr>
        <w:t xml:space="preserve"> </w:t>
      </w:r>
      <w:r>
        <w:rPr>
          <w:rFonts w:ascii="Times New Roman" w:hAnsi="Times New Roman" w:cs="Times New Roman"/>
          <w:sz w:val="24"/>
          <w:szCs w:val="24"/>
        </w:rPr>
        <w:t xml:space="preserve">the court observed on the card reader that: </w:t>
      </w:r>
    </w:p>
    <w:p w:rsidR="00D6148B" w:rsidRDefault="00047BFF" w:rsidP="00D6148B">
      <w:pPr>
        <w:spacing w:after="0" w:line="240" w:lineRule="auto"/>
        <w:ind w:left="720" w:right="720"/>
        <w:jc w:val="both"/>
        <w:rPr>
          <w:rFonts w:ascii="Times New Roman" w:hAnsi="Times New Roman" w:cs="Times New Roman"/>
          <w:sz w:val="24"/>
          <w:szCs w:val="24"/>
        </w:rPr>
      </w:pPr>
      <w:r w:rsidRPr="00E57AC0">
        <w:rPr>
          <w:rFonts w:ascii="Times New Roman" w:hAnsi="Times New Roman" w:cs="Times New Roman"/>
          <w:sz w:val="24"/>
          <w:szCs w:val="24"/>
        </w:rPr>
        <w:lastRenderedPageBreak/>
        <w:t xml:space="preserve">Prior to the authorisation of its use by the Guidelines and Manual </w:t>
      </w:r>
      <w:r>
        <w:rPr>
          <w:rFonts w:ascii="Times New Roman" w:hAnsi="Times New Roman" w:cs="Times New Roman"/>
          <w:sz w:val="24"/>
          <w:szCs w:val="24"/>
        </w:rPr>
        <w:t xml:space="preserve">of </w:t>
      </w:r>
      <w:r w:rsidRPr="00E57AC0">
        <w:rPr>
          <w:rFonts w:ascii="Times New Roman" w:hAnsi="Times New Roman" w:cs="Times New Roman"/>
          <w:sz w:val="24"/>
          <w:szCs w:val="24"/>
        </w:rPr>
        <w:t>the E</w:t>
      </w:r>
      <w:r>
        <w:rPr>
          <w:rFonts w:ascii="Times New Roman" w:hAnsi="Times New Roman" w:cs="Times New Roman"/>
          <w:sz w:val="24"/>
          <w:szCs w:val="24"/>
        </w:rPr>
        <w:t>lectoral Act, 2010 (as amended)</w:t>
      </w:r>
      <w:r w:rsidRPr="00E57AC0">
        <w:rPr>
          <w:rFonts w:ascii="Times New Roman" w:hAnsi="Times New Roman" w:cs="Times New Roman"/>
          <w:sz w:val="24"/>
          <w:szCs w:val="24"/>
        </w:rPr>
        <w:t xml:space="preserve"> in Sections 49</w:t>
      </w:r>
      <w:r>
        <w:rPr>
          <w:rFonts w:ascii="Times New Roman" w:hAnsi="Times New Roman" w:cs="Times New Roman"/>
          <w:sz w:val="24"/>
          <w:szCs w:val="24"/>
        </w:rPr>
        <w:t xml:space="preserve"> </w:t>
      </w:r>
      <w:r w:rsidRPr="00E57AC0">
        <w:rPr>
          <w:rFonts w:ascii="Times New Roman" w:hAnsi="Times New Roman" w:cs="Times New Roman"/>
          <w:sz w:val="24"/>
          <w:szCs w:val="24"/>
        </w:rPr>
        <w:t xml:space="preserve">(1) and (2), </w:t>
      </w:r>
      <w:r>
        <w:rPr>
          <w:rFonts w:ascii="Times New Roman" w:hAnsi="Times New Roman" w:cs="Times New Roman"/>
          <w:sz w:val="24"/>
          <w:szCs w:val="24"/>
        </w:rPr>
        <w:t xml:space="preserve">(sic.) it has been </w:t>
      </w:r>
      <w:r w:rsidRPr="00E57AC0">
        <w:rPr>
          <w:rFonts w:ascii="Times New Roman" w:hAnsi="Times New Roman" w:cs="Times New Roman"/>
          <w:sz w:val="24"/>
          <w:szCs w:val="24"/>
        </w:rPr>
        <w:t>ordained an analogue procedure for the accreditation process. As a corollary to the procedure outline</w:t>
      </w:r>
      <w:r>
        <w:rPr>
          <w:rFonts w:ascii="Times New Roman" w:hAnsi="Times New Roman" w:cs="Times New Roman"/>
          <w:sz w:val="24"/>
          <w:szCs w:val="24"/>
        </w:rPr>
        <w:t>d</w:t>
      </w:r>
      <w:r w:rsidRPr="00E57AC0">
        <w:rPr>
          <w:rFonts w:ascii="Times New Roman" w:hAnsi="Times New Roman" w:cs="Times New Roman"/>
          <w:sz w:val="24"/>
          <w:szCs w:val="24"/>
        </w:rPr>
        <w:t xml:space="preserve"> above, the Act, in Section 53</w:t>
      </w:r>
      <w:r>
        <w:rPr>
          <w:rFonts w:ascii="Times New Roman" w:hAnsi="Times New Roman" w:cs="Times New Roman"/>
          <w:sz w:val="24"/>
          <w:szCs w:val="24"/>
        </w:rPr>
        <w:t xml:space="preserve"> (2) enshrined</w:t>
      </w:r>
      <w:r w:rsidRPr="00E57AC0">
        <w:rPr>
          <w:rFonts w:ascii="Times New Roman" w:hAnsi="Times New Roman" w:cs="Times New Roman"/>
          <w:sz w:val="24"/>
          <w:szCs w:val="24"/>
        </w:rPr>
        <w:t xml:space="preserve"> the consequences for the br</w:t>
      </w:r>
      <w:r>
        <w:rPr>
          <w:rFonts w:ascii="Times New Roman" w:hAnsi="Times New Roman" w:cs="Times New Roman"/>
          <w:sz w:val="24"/>
          <w:szCs w:val="24"/>
        </w:rPr>
        <w:t>e</w:t>
      </w:r>
      <w:r w:rsidRPr="00E57AC0">
        <w:rPr>
          <w:rFonts w:ascii="Times New Roman" w:hAnsi="Times New Roman" w:cs="Times New Roman"/>
          <w:sz w:val="24"/>
          <w:szCs w:val="24"/>
        </w:rPr>
        <w:t>ach, negation or violation of the accreditation procedure in Section 49. With the advantage of hindsight, INEC, pursuant to its powers under the said Electoral Act, authorized the deployment of the said card readers. Even with the introduction of the said advice, that is, the card reader machine, the National Assembly, in its wisdom, did not deem it necessary to bowdlerize, or even amend, Section 49 from the Electoral Act so that the card reader procedure would be the sole determinant of</w:t>
      </w:r>
      <w:r>
        <w:rPr>
          <w:rFonts w:ascii="Times New Roman" w:hAnsi="Times New Roman" w:cs="Times New Roman"/>
          <w:sz w:val="24"/>
          <w:szCs w:val="24"/>
        </w:rPr>
        <w:t xml:space="preserve"> a valid accreditation process contrariwise, from the c</w:t>
      </w:r>
      <w:r w:rsidRPr="00E57AC0">
        <w:rPr>
          <w:rFonts w:ascii="Times New Roman" w:hAnsi="Times New Roman" w:cs="Times New Roman"/>
          <w:sz w:val="24"/>
          <w:szCs w:val="24"/>
        </w:rPr>
        <w:t>orrigendum No. 2 made on March 28, 2015, amending paragraph 13</w:t>
      </w:r>
      <w:r>
        <w:rPr>
          <w:rFonts w:ascii="Times New Roman" w:hAnsi="Times New Roman" w:cs="Times New Roman"/>
          <w:sz w:val="24"/>
          <w:szCs w:val="24"/>
        </w:rPr>
        <w:t xml:space="preserve"> </w:t>
      </w:r>
      <w:r w:rsidRPr="00E57AC0">
        <w:rPr>
          <w:rFonts w:ascii="Times New Roman" w:hAnsi="Times New Roman" w:cs="Times New Roman"/>
          <w:sz w:val="24"/>
          <w:szCs w:val="24"/>
        </w:rPr>
        <w:t xml:space="preserve">(b) of the Approved Guidelines, it stands to reason that the card reader was meant to supplement the voter’s register and was never designed or intended to supplant, displace or supersede it. </w:t>
      </w:r>
    </w:p>
    <w:p w:rsidR="00D6148B" w:rsidRDefault="00D6148B" w:rsidP="00D6148B">
      <w:pPr>
        <w:spacing w:after="0" w:line="240" w:lineRule="auto"/>
        <w:ind w:left="720" w:right="720"/>
        <w:jc w:val="both"/>
        <w:rPr>
          <w:rFonts w:ascii="Times New Roman" w:hAnsi="Times New Roman" w:cs="Times New Roman"/>
          <w:sz w:val="24"/>
          <w:szCs w:val="24"/>
        </w:rPr>
      </w:pPr>
    </w:p>
    <w:p w:rsidR="00D6148B" w:rsidRDefault="00D6148B" w:rsidP="00D6148B">
      <w:pPr>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The court further observed that:</w:t>
      </w:r>
    </w:p>
    <w:p w:rsidR="00493EAC" w:rsidRDefault="00047BFF" w:rsidP="00493EAC">
      <w:pPr>
        <w:spacing w:after="0" w:line="240" w:lineRule="auto"/>
        <w:ind w:left="720" w:right="720"/>
        <w:jc w:val="both"/>
        <w:rPr>
          <w:rFonts w:ascii="Times New Roman" w:hAnsi="Times New Roman" w:cs="Times New Roman"/>
          <w:sz w:val="24"/>
          <w:szCs w:val="24"/>
        </w:rPr>
      </w:pPr>
      <w:r w:rsidRPr="00E57AC0">
        <w:rPr>
          <w:rFonts w:ascii="Times New Roman" w:hAnsi="Times New Roman" w:cs="Times New Roman"/>
          <w:sz w:val="24"/>
          <w:szCs w:val="24"/>
        </w:rPr>
        <w:t xml:space="preserve">Indeed, </w:t>
      </w:r>
      <w:r>
        <w:rPr>
          <w:rFonts w:ascii="Times New Roman" w:hAnsi="Times New Roman" w:cs="Times New Roman"/>
          <w:sz w:val="24"/>
          <w:szCs w:val="24"/>
        </w:rPr>
        <w:t>since the Guidelines and Manual</w:t>
      </w:r>
      <w:r w:rsidRPr="00E57AC0">
        <w:rPr>
          <w:rFonts w:ascii="Times New Roman" w:hAnsi="Times New Roman" w:cs="Times New Roman"/>
          <w:sz w:val="24"/>
          <w:szCs w:val="24"/>
        </w:rPr>
        <w:t>, which authorized the use and deployment of the electronic card reader machine, were made in exercise of the powers conferred by the Electoral Act, the said card reader cannot, logically, depose or dethrone the voters’ register whose juridical roots are, firmly, embedded or entrenched in the self</w:t>
      </w:r>
      <w:r>
        <w:rPr>
          <w:rFonts w:ascii="Times New Roman" w:hAnsi="Times New Roman" w:cs="Times New Roman"/>
          <w:sz w:val="24"/>
          <w:szCs w:val="24"/>
        </w:rPr>
        <w:t>-</w:t>
      </w:r>
      <w:r w:rsidRPr="00E57AC0">
        <w:rPr>
          <w:rFonts w:ascii="Times New Roman" w:hAnsi="Times New Roman" w:cs="Times New Roman"/>
          <w:sz w:val="24"/>
          <w:szCs w:val="24"/>
        </w:rPr>
        <w:t>same Electoral Act from which it (the voters’ register), directly, derives its sustenance and currency. Thus, any attempt to invest it (the card reader machine procedure) with such overarching pre-eminence or superiority over the voters’ register is like converting an auxiliary procedure</w:t>
      </w:r>
      <w:r>
        <w:rPr>
          <w:rFonts w:ascii="Times New Roman" w:hAnsi="Times New Roman" w:cs="Times New Roman"/>
          <w:sz w:val="24"/>
          <w:szCs w:val="24"/>
        </w:rPr>
        <w:t>-</w:t>
      </w:r>
      <w:r w:rsidRPr="00E57AC0">
        <w:rPr>
          <w:rFonts w:ascii="Times New Roman" w:hAnsi="Times New Roman" w:cs="Times New Roman"/>
          <w:sz w:val="24"/>
          <w:szCs w:val="24"/>
        </w:rPr>
        <w:t>into the dominant method procedure</w:t>
      </w:r>
      <w:r>
        <w:rPr>
          <w:rFonts w:ascii="Times New Roman" w:hAnsi="Times New Roman" w:cs="Times New Roman"/>
          <w:sz w:val="24"/>
          <w:szCs w:val="24"/>
        </w:rPr>
        <w:t>-</w:t>
      </w:r>
      <w:r w:rsidRPr="00E57AC0">
        <w:rPr>
          <w:rFonts w:ascii="Times New Roman" w:hAnsi="Times New Roman" w:cs="Times New Roman"/>
          <w:sz w:val="24"/>
          <w:szCs w:val="24"/>
        </w:rPr>
        <w:t xml:space="preserve">of proof, that is, proof of accreditation. This is a logical impossibility. I have no reason for departing from the above pronouncements which I adopt as part of my reasoning in this appeal. I, therefore, vacate the judgment of the lower Court woven on the said exhibit 317. I, entirely, endorse, the conclusion of the trial Tribunal that “the burden to establish non-accreditation of 1,222,836 votes was on the petitioners squarely,” page 3768, Vol. 4 of the record. They failed to do </w:t>
      </w:r>
      <w:r>
        <w:rPr>
          <w:rFonts w:ascii="Times New Roman" w:hAnsi="Times New Roman" w:cs="Times New Roman"/>
          <w:sz w:val="24"/>
          <w:szCs w:val="24"/>
        </w:rPr>
        <w:t xml:space="preserve">so </w:t>
      </w:r>
      <w:r w:rsidRPr="00E57AC0">
        <w:rPr>
          <w:rFonts w:ascii="Times New Roman" w:hAnsi="Times New Roman" w:cs="Times New Roman"/>
          <w:sz w:val="24"/>
          <w:szCs w:val="24"/>
        </w:rPr>
        <w:t>because as the trial Tribunal found “the petitioners relied heavily or solely on the number of accredited voters as contained in exhibit 317 (the card reader report) to conclude that there were only 438,127 accredited voters for the 11</w:t>
      </w:r>
      <w:r w:rsidRPr="00E57AC0">
        <w:rPr>
          <w:rFonts w:ascii="Times New Roman" w:hAnsi="Times New Roman" w:cs="Times New Roman"/>
          <w:sz w:val="24"/>
          <w:szCs w:val="24"/>
          <w:vertAlign w:val="superscript"/>
        </w:rPr>
        <w:t>th</w:t>
      </w:r>
      <w:r w:rsidRPr="00E57AC0">
        <w:rPr>
          <w:rFonts w:ascii="Times New Roman" w:hAnsi="Times New Roman" w:cs="Times New Roman"/>
          <w:sz w:val="24"/>
          <w:szCs w:val="24"/>
        </w:rPr>
        <w:t xml:space="preserve"> April Governorship election in </w:t>
      </w:r>
      <w:proofErr w:type="spellStart"/>
      <w:r w:rsidRPr="00E57AC0">
        <w:rPr>
          <w:rFonts w:ascii="Times New Roman" w:hAnsi="Times New Roman" w:cs="Times New Roman"/>
          <w:sz w:val="24"/>
          <w:szCs w:val="24"/>
        </w:rPr>
        <w:t>Akwa</w:t>
      </w:r>
      <w:proofErr w:type="spellEnd"/>
      <w:r w:rsidRPr="00E57AC0">
        <w:rPr>
          <w:rFonts w:ascii="Times New Roman" w:hAnsi="Times New Roman" w:cs="Times New Roman"/>
          <w:sz w:val="24"/>
          <w:szCs w:val="24"/>
        </w:rPr>
        <w:t xml:space="preserve"> </w:t>
      </w:r>
      <w:proofErr w:type="spellStart"/>
      <w:r>
        <w:rPr>
          <w:rFonts w:ascii="Times New Roman" w:hAnsi="Times New Roman" w:cs="Times New Roman"/>
          <w:sz w:val="24"/>
          <w:szCs w:val="24"/>
        </w:rPr>
        <w:t>Ibom</w:t>
      </w:r>
      <w:proofErr w:type="spellEnd"/>
      <w:r>
        <w:rPr>
          <w:rFonts w:ascii="Times New Roman" w:hAnsi="Times New Roman" w:cs="Times New Roman"/>
          <w:sz w:val="24"/>
          <w:szCs w:val="24"/>
        </w:rPr>
        <w:t xml:space="preserve"> State.</w:t>
      </w:r>
      <w:r w:rsidRPr="00E57AC0">
        <w:rPr>
          <w:rFonts w:ascii="Times New Roman" w:hAnsi="Times New Roman" w:cs="Times New Roman"/>
          <w:sz w:val="24"/>
          <w:szCs w:val="24"/>
        </w:rPr>
        <w:t>” I, also, agree with the trial Tribunal that it was “presumptuous, fallacious … and (a) jurisprudential absurdity for the petitioners to ascribe to exhibit 317 such magnitude of credence.” With respect, the lower Court was, equally, caught in this web of “presumptuous fallacious</w:t>
      </w:r>
      <w:r>
        <w:rPr>
          <w:rFonts w:ascii="Times New Roman" w:hAnsi="Times New Roman" w:cs="Times New Roman"/>
          <w:sz w:val="24"/>
          <w:szCs w:val="24"/>
        </w:rPr>
        <w:t>…</w:t>
      </w:r>
      <w:r w:rsidRPr="00E57AC0">
        <w:rPr>
          <w:rFonts w:ascii="Times New Roman" w:hAnsi="Times New Roman" w:cs="Times New Roman"/>
          <w:sz w:val="24"/>
          <w:szCs w:val="24"/>
        </w:rPr>
        <w:t xml:space="preserve">jurisprudential absurdity” of ascribing “to exhibit </w:t>
      </w:r>
      <w:r w:rsidR="00493EAC">
        <w:rPr>
          <w:rFonts w:ascii="Times New Roman" w:hAnsi="Times New Roman" w:cs="Times New Roman"/>
          <w:sz w:val="24"/>
          <w:szCs w:val="24"/>
        </w:rPr>
        <w:t>317 such magnitude of credence.</w:t>
      </w:r>
      <w:r w:rsidR="00493EAC">
        <w:rPr>
          <w:rStyle w:val="FootnoteReference"/>
          <w:rFonts w:ascii="Times New Roman" w:hAnsi="Times New Roman" w:cs="Times New Roman"/>
          <w:sz w:val="24"/>
          <w:szCs w:val="24"/>
        </w:rPr>
        <w:footnoteReference w:id="29"/>
      </w:r>
    </w:p>
    <w:p w:rsidR="00493EAC" w:rsidRDefault="00493EAC" w:rsidP="00493EAC">
      <w:pPr>
        <w:spacing w:after="0" w:line="240" w:lineRule="auto"/>
        <w:ind w:right="720"/>
        <w:jc w:val="both"/>
        <w:rPr>
          <w:rFonts w:ascii="Times New Roman" w:hAnsi="Times New Roman" w:cs="Times New Roman"/>
          <w:sz w:val="24"/>
          <w:szCs w:val="24"/>
        </w:rPr>
      </w:pPr>
    </w:p>
    <w:p w:rsidR="00D6148B" w:rsidRDefault="00D6148B" w:rsidP="00493EAC">
      <w:pPr>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The court further observed that:</w:t>
      </w:r>
    </w:p>
    <w:p w:rsidR="00D6148B" w:rsidRDefault="00D6148B" w:rsidP="00D6148B">
      <w:pPr>
        <w:spacing w:after="0" w:line="240" w:lineRule="auto"/>
        <w:ind w:right="720"/>
        <w:jc w:val="both"/>
        <w:rPr>
          <w:rFonts w:ascii="Times New Roman" w:hAnsi="Times New Roman" w:cs="Times New Roman"/>
          <w:sz w:val="24"/>
          <w:szCs w:val="24"/>
        </w:rPr>
      </w:pPr>
    </w:p>
    <w:p w:rsidR="00047BFF" w:rsidRPr="00E57AC0" w:rsidRDefault="00047BFF" w:rsidP="00D6148B">
      <w:pPr>
        <w:spacing w:after="0" w:line="240" w:lineRule="auto"/>
        <w:ind w:left="720" w:right="720"/>
        <w:jc w:val="both"/>
        <w:rPr>
          <w:rFonts w:ascii="Times New Roman" w:hAnsi="Times New Roman" w:cs="Times New Roman"/>
          <w:sz w:val="24"/>
          <w:szCs w:val="24"/>
        </w:rPr>
      </w:pPr>
      <w:r w:rsidRPr="00E57AC0">
        <w:rPr>
          <w:rFonts w:ascii="Times New Roman" w:hAnsi="Times New Roman" w:cs="Times New Roman"/>
          <w:sz w:val="24"/>
          <w:szCs w:val="24"/>
        </w:rPr>
        <w:lastRenderedPageBreak/>
        <w:t xml:space="preserve">The submissions of the Learned Senior Counsel to the Petitioners on import of Section 52(2) of the Electoral Act 2010 as amended and on Exhibit P27, P28, P33 </w:t>
      </w:r>
      <w:r>
        <w:rPr>
          <w:rFonts w:ascii="Times New Roman" w:hAnsi="Times New Roman" w:cs="Times New Roman"/>
          <w:sz w:val="24"/>
          <w:szCs w:val="24"/>
        </w:rPr>
        <w:t>and P74-</w:t>
      </w:r>
      <w:r w:rsidRPr="00E57AC0">
        <w:rPr>
          <w:rFonts w:ascii="Times New Roman" w:hAnsi="Times New Roman" w:cs="Times New Roman"/>
          <w:sz w:val="24"/>
          <w:szCs w:val="24"/>
        </w:rPr>
        <w:t>P80 are not well founded.</w:t>
      </w:r>
      <w:r>
        <w:rPr>
          <w:rStyle w:val="FootnoteReference"/>
          <w:rFonts w:ascii="Times New Roman" w:hAnsi="Times New Roman" w:cs="Times New Roman"/>
          <w:sz w:val="24"/>
          <w:szCs w:val="24"/>
        </w:rPr>
        <w:footnoteReference w:id="30"/>
      </w:r>
      <w:r w:rsidRPr="00E57AC0">
        <w:rPr>
          <w:rFonts w:ascii="Times New Roman" w:hAnsi="Times New Roman" w:cs="Times New Roman"/>
          <w:sz w:val="24"/>
          <w:szCs w:val="24"/>
        </w:rPr>
        <w:t xml:space="preserve"> </w:t>
      </w:r>
    </w:p>
    <w:p w:rsidR="00047BFF" w:rsidRPr="00E21AE4" w:rsidRDefault="00047BFF" w:rsidP="00286CE5">
      <w:pPr>
        <w:pStyle w:val="ListParagraph"/>
        <w:spacing w:line="480" w:lineRule="auto"/>
        <w:ind w:left="360"/>
        <w:jc w:val="both"/>
        <w:rPr>
          <w:rFonts w:ascii="Times New Roman" w:hAnsi="Times New Roman" w:cs="Times New Roman"/>
          <w:b/>
          <w:sz w:val="10"/>
          <w:szCs w:val="24"/>
        </w:rPr>
      </w:pPr>
    </w:p>
    <w:p w:rsidR="00047BFF" w:rsidRPr="00C17A64" w:rsidRDefault="00047BFF" w:rsidP="00286CE5">
      <w:pPr>
        <w:spacing w:line="480" w:lineRule="auto"/>
        <w:jc w:val="both"/>
        <w:rPr>
          <w:rFonts w:ascii="Times New Roman" w:hAnsi="Times New Roman" w:cs="Times New Roman"/>
          <w:i/>
          <w:sz w:val="24"/>
          <w:szCs w:val="24"/>
        </w:rPr>
      </w:pPr>
      <w:r>
        <w:rPr>
          <w:rFonts w:ascii="Times New Roman" w:hAnsi="Times New Roman" w:cs="Times New Roman"/>
          <w:sz w:val="24"/>
          <w:szCs w:val="24"/>
        </w:rPr>
        <w:t>Furthermore, o</w:t>
      </w:r>
      <w:r w:rsidRPr="00C17A64">
        <w:rPr>
          <w:rFonts w:ascii="Times New Roman" w:hAnsi="Times New Roman" w:cs="Times New Roman"/>
          <w:sz w:val="24"/>
          <w:szCs w:val="24"/>
        </w:rPr>
        <w:t>n the vexed issue of whether the law requires or mandates INEC to operate a website wherein it can post election results, the court held</w:t>
      </w:r>
      <w:r>
        <w:rPr>
          <w:rFonts w:ascii="Times New Roman" w:hAnsi="Times New Roman" w:cs="Times New Roman"/>
          <w:sz w:val="24"/>
          <w:szCs w:val="24"/>
        </w:rPr>
        <w:t xml:space="preserve"> that:</w:t>
      </w:r>
      <w:r>
        <w:rPr>
          <w:rStyle w:val="FootnoteReference"/>
          <w:rFonts w:ascii="Times New Roman" w:hAnsi="Times New Roman" w:cs="Times New Roman"/>
          <w:i/>
          <w:sz w:val="24"/>
          <w:szCs w:val="24"/>
        </w:rPr>
        <w:footnoteReference w:id="31"/>
      </w:r>
    </w:p>
    <w:p w:rsidR="00047BFF" w:rsidRPr="00282467" w:rsidRDefault="00047BFF" w:rsidP="00D6148B">
      <w:pPr>
        <w:spacing w:after="0" w:line="240" w:lineRule="auto"/>
        <w:ind w:left="720" w:right="720"/>
        <w:jc w:val="both"/>
        <w:rPr>
          <w:rFonts w:ascii="Times New Roman" w:hAnsi="Times New Roman" w:cs="Times New Roman"/>
          <w:sz w:val="24"/>
          <w:szCs w:val="24"/>
        </w:rPr>
      </w:pPr>
      <w:r w:rsidRPr="00282467">
        <w:rPr>
          <w:rFonts w:ascii="Times New Roman" w:hAnsi="Times New Roman" w:cs="Times New Roman"/>
          <w:sz w:val="24"/>
          <w:szCs w:val="24"/>
        </w:rPr>
        <w:t>Albeit and for purpose of posterity, I will emphasizes again that to all intents and purposes the law requires or mandates the 1</w:t>
      </w:r>
      <w:r w:rsidRPr="00282467">
        <w:rPr>
          <w:rFonts w:ascii="Times New Roman" w:hAnsi="Times New Roman" w:cs="Times New Roman"/>
          <w:sz w:val="24"/>
          <w:szCs w:val="24"/>
          <w:vertAlign w:val="superscript"/>
        </w:rPr>
        <w:t>st</w:t>
      </w:r>
      <w:r w:rsidRPr="00282467">
        <w:rPr>
          <w:rFonts w:ascii="Times New Roman" w:hAnsi="Times New Roman" w:cs="Times New Roman"/>
          <w:sz w:val="24"/>
          <w:szCs w:val="24"/>
        </w:rPr>
        <w:t xml:space="preserve"> Respondent to operate a website under Section 71 of the Electoral Act which provides thus; “S.71. The commission shall cause to be posted on its notice board and website, a notice showing the candidate at the election and their scores; and the person declared as elected or returned at the election.” The above set out provisions used the word shall which connotes mandatories or command. See </w:t>
      </w:r>
      <w:proofErr w:type="spellStart"/>
      <w:r w:rsidRPr="00282467">
        <w:rPr>
          <w:rFonts w:ascii="Times New Roman" w:hAnsi="Times New Roman" w:cs="Times New Roman"/>
          <w:sz w:val="24"/>
          <w:szCs w:val="24"/>
        </w:rPr>
        <w:t>S</w:t>
      </w:r>
      <w:r>
        <w:rPr>
          <w:rFonts w:ascii="Times New Roman" w:hAnsi="Times New Roman" w:cs="Times New Roman"/>
          <w:sz w:val="24"/>
          <w:szCs w:val="24"/>
        </w:rPr>
        <w:t>hettima</w:t>
      </w:r>
      <w:proofErr w:type="spellEnd"/>
      <w:r>
        <w:rPr>
          <w:rFonts w:ascii="Times New Roman" w:hAnsi="Times New Roman" w:cs="Times New Roman"/>
          <w:sz w:val="24"/>
          <w:szCs w:val="24"/>
        </w:rPr>
        <w:t xml:space="preserve"> v</w:t>
      </w:r>
      <w:r w:rsidRPr="00282467">
        <w:rPr>
          <w:rFonts w:ascii="Times New Roman" w:hAnsi="Times New Roman" w:cs="Times New Roman"/>
          <w:sz w:val="24"/>
          <w:szCs w:val="24"/>
        </w:rPr>
        <w:t xml:space="preserve"> </w:t>
      </w:r>
      <w:proofErr w:type="spellStart"/>
      <w:r w:rsidRPr="00282467">
        <w:rPr>
          <w:rFonts w:ascii="Times New Roman" w:hAnsi="Times New Roman" w:cs="Times New Roman"/>
          <w:sz w:val="24"/>
          <w:szCs w:val="24"/>
        </w:rPr>
        <w:t>G</w:t>
      </w:r>
      <w:r>
        <w:rPr>
          <w:rFonts w:ascii="Times New Roman" w:hAnsi="Times New Roman" w:cs="Times New Roman"/>
          <w:sz w:val="24"/>
          <w:szCs w:val="24"/>
        </w:rPr>
        <w:t>oni</w:t>
      </w:r>
      <w:proofErr w:type="spellEnd"/>
      <w:r>
        <w:rPr>
          <w:rFonts w:ascii="Times New Roman" w:hAnsi="Times New Roman" w:cs="Times New Roman"/>
          <w:sz w:val="24"/>
          <w:szCs w:val="24"/>
        </w:rPr>
        <w:t xml:space="preserve"> (2011) 18 NWLR (Pt</w:t>
      </w:r>
      <w:r w:rsidRPr="00282467">
        <w:rPr>
          <w:rFonts w:ascii="Times New Roman" w:hAnsi="Times New Roman" w:cs="Times New Roman"/>
          <w:sz w:val="24"/>
          <w:szCs w:val="24"/>
        </w:rPr>
        <w:t xml:space="preserve">. 1279) 413; </w:t>
      </w:r>
      <w:proofErr w:type="spellStart"/>
      <w:r w:rsidRPr="00282467">
        <w:rPr>
          <w:rFonts w:ascii="Times New Roman" w:hAnsi="Times New Roman" w:cs="Times New Roman"/>
          <w:sz w:val="24"/>
          <w:szCs w:val="24"/>
        </w:rPr>
        <w:t>U</w:t>
      </w:r>
      <w:r>
        <w:rPr>
          <w:rFonts w:ascii="Times New Roman" w:hAnsi="Times New Roman" w:cs="Times New Roman"/>
          <w:sz w:val="24"/>
          <w:szCs w:val="24"/>
        </w:rPr>
        <w:t>gba</w:t>
      </w:r>
      <w:proofErr w:type="spellEnd"/>
      <w:r>
        <w:rPr>
          <w:rFonts w:ascii="Times New Roman" w:hAnsi="Times New Roman" w:cs="Times New Roman"/>
          <w:sz w:val="24"/>
          <w:szCs w:val="24"/>
        </w:rPr>
        <w:t xml:space="preserve"> &amp; </w:t>
      </w:r>
      <w:proofErr w:type="spellStart"/>
      <w:r w:rsidRPr="00282467">
        <w:rPr>
          <w:rFonts w:ascii="Times New Roman" w:hAnsi="Times New Roman" w:cs="Times New Roman"/>
          <w:sz w:val="24"/>
          <w:szCs w:val="24"/>
        </w:rPr>
        <w:t>O</w:t>
      </w:r>
      <w:r>
        <w:rPr>
          <w:rFonts w:ascii="Times New Roman" w:hAnsi="Times New Roman" w:cs="Times New Roman"/>
          <w:sz w:val="24"/>
          <w:szCs w:val="24"/>
        </w:rPr>
        <w:t>rs</w:t>
      </w:r>
      <w:proofErr w:type="spellEnd"/>
      <w:r w:rsidRPr="00282467">
        <w:rPr>
          <w:rFonts w:ascii="Times New Roman" w:hAnsi="Times New Roman" w:cs="Times New Roman"/>
          <w:sz w:val="24"/>
          <w:szCs w:val="24"/>
        </w:rPr>
        <w:t xml:space="preserve">. </w:t>
      </w:r>
      <w:proofErr w:type="gramStart"/>
      <w:r>
        <w:rPr>
          <w:rFonts w:ascii="Times New Roman" w:hAnsi="Times New Roman" w:cs="Times New Roman"/>
          <w:sz w:val="24"/>
          <w:szCs w:val="24"/>
        </w:rPr>
        <w:t>v</w:t>
      </w:r>
      <w:proofErr w:type="gramEnd"/>
      <w:r w:rsidRPr="00282467">
        <w:rPr>
          <w:rFonts w:ascii="Times New Roman" w:hAnsi="Times New Roman" w:cs="Times New Roman"/>
          <w:sz w:val="24"/>
          <w:szCs w:val="24"/>
        </w:rPr>
        <w:t xml:space="preserve"> </w:t>
      </w:r>
      <w:proofErr w:type="spellStart"/>
      <w:r w:rsidRPr="00282467">
        <w:rPr>
          <w:rFonts w:ascii="Times New Roman" w:hAnsi="Times New Roman" w:cs="Times New Roman"/>
          <w:sz w:val="24"/>
          <w:szCs w:val="24"/>
        </w:rPr>
        <w:t>S</w:t>
      </w:r>
      <w:r>
        <w:rPr>
          <w:rFonts w:ascii="Times New Roman" w:hAnsi="Times New Roman" w:cs="Times New Roman"/>
          <w:sz w:val="24"/>
          <w:szCs w:val="24"/>
        </w:rPr>
        <w:t>uswan</w:t>
      </w:r>
      <w:proofErr w:type="spellEnd"/>
      <w:r>
        <w:rPr>
          <w:rFonts w:ascii="Times New Roman" w:hAnsi="Times New Roman" w:cs="Times New Roman"/>
          <w:sz w:val="24"/>
          <w:szCs w:val="24"/>
        </w:rPr>
        <w:t xml:space="preserve"> </w:t>
      </w:r>
      <w:r w:rsidRPr="00282467">
        <w:rPr>
          <w:rFonts w:ascii="Times New Roman" w:hAnsi="Times New Roman" w:cs="Times New Roman"/>
          <w:sz w:val="24"/>
          <w:szCs w:val="24"/>
        </w:rPr>
        <w:t xml:space="preserve">&amp; </w:t>
      </w:r>
      <w:proofErr w:type="spellStart"/>
      <w:r w:rsidRPr="00282467">
        <w:rPr>
          <w:rFonts w:ascii="Times New Roman" w:hAnsi="Times New Roman" w:cs="Times New Roman"/>
          <w:sz w:val="24"/>
          <w:szCs w:val="24"/>
        </w:rPr>
        <w:t>O</w:t>
      </w:r>
      <w:r>
        <w:rPr>
          <w:rFonts w:ascii="Times New Roman" w:hAnsi="Times New Roman" w:cs="Times New Roman"/>
          <w:sz w:val="24"/>
          <w:szCs w:val="24"/>
        </w:rPr>
        <w:t>rs</w:t>
      </w:r>
      <w:proofErr w:type="spellEnd"/>
      <w:r w:rsidRPr="00282467">
        <w:rPr>
          <w:rFonts w:ascii="Times New Roman" w:hAnsi="Times New Roman" w:cs="Times New Roman"/>
          <w:sz w:val="24"/>
          <w:szCs w:val="24"/>
        </w:rPr>
        <w:t xml:space="preserve">. </w:t>
      </w:r>
      <w:proofErr w:type="gramStart"/>
      <w:r w:rsidRPr="00282467">
        <w:rPr>
          <w:rFonts w:ascii="Times New Roman" w:hAnsi="Times New Roman" w:cs="Times New Roman"/>
          <w:sz w:val="24"/>
          <w:szCs w:val="24"/>
        </w:rPr>
        <w:t xml:space="preserve">(2012) LPELR-9726 (SC); </w:t>
      </w:r>
      <w:proofErr w:type="spellStart"/>
      <w:r w:rsidRPr="00282467">
        <w:rPr>
          <w:rFonts w:ascii="Times New Roman" w:hAnsi="Times New Roman" w:cs="Times New Roman"/>
          <w:sz w:val="24"/>
          <w:szCs w:val="24"/>
        </w:rPr>
        <w:t>O</w:t>
      </w:r>
      <w:r>
        <w:rPr>
          <w:rFonts w:ascii="Times New Roman" w:hAnsi="Times New Roman" w:cs="Times New Roman"/>
          <w:sz w:val="24"/>
          <w:szCs w:val="24"/>
        </w:rPr>
        <w:t>nochie</w:t>
      </w:r>
      <w:proofErr w:type="spellEnd"/>
      <w:r>
        <w:rPr>
          <w:rFonts w:ascii="Times New Roman" w:hAnsi="Times New Roman" w:cs="Times New Roman"/>
          <w:sz w:val="24"/>
          <w:szCs w:val="24"/>
        </w:rPr>
        <w:t xml:space="preserve"> v</w:t>
      </w:r>
      <w:r w:rsidRPr="00282467">
        <w:rPr>
          <w:rFonts w:ascii="Times New Roman" w:hAnsi="Times New Roman" w:cs="Times New Roman"/>
          <w:sz w:val="24"/>
          <w:szCs w:val="24"/>
        </w:rPr>
        <w:t xml:space="preserve"> </w:t>
      </w:r>
      <w:proofErr w:type="spellStart"/>
      <w:r w:rsidRPr="00282467">
        <w:rPr>
          <w:rFonts w:ascii="Times New Roman" w:hAnsi="Times New Roman" w:cs="Times New Roman"/>
          <w:sz w:val="24"/>
          <w:szCs w:val="24"/>
        </w:rPr>
        <w:t>O</w:t>
      </w:r>
      <w:r>
        <w:rPr>
          <w:rFonts w:ascii="Times New Roman" w:hAnsi="Times New Roman" w:cs="Times New Roman"/>
          <w:sz w:val="24"/>
          <w:szCs w:val="24"/>
        </w:rPr>
        <w:t>dogwu</w:t>
      </w:r>
      <w:proofErr w:type="spellEnd"/>
      <w:r w:rsidRPr="00282467">
        <w:rPr>
          <w:rFonts w:ascii="Times New Roman" w:hAnsi="Times New Roman" w:cs="Times New Roman"/>
          <w:sz w:val="24"/>
          <w:szCs w:val="24"/>
        </w:rPr>
        <w:t xml:space="preserve"> (2006) 6 NWLR (P</w:t>
      </w:r>
      <w:r>
        <w:rPr>
          <w:rFonts w:ascii="Times New Roman" w:hAnsi="Times New Roman" w:cs="Times New Roman"/>
          <w:sz w:val="24"/>
          <w:szCs w:val="24"/>
        </w:rPr>
        <w:t>t</w:t>
      </w:r>
      <w:r w:rsidRPr="00282467">
        <w:rPr>
          <w:rFonts w:ascii="Times New Roman" w:hAnsi="Times New Roman" w:cs="Times New Roman"/>
          <w:sz w:val="24"/>
          <w:szCs w:val="24"/>
        </w:rPr>
        <w:t>. 975) 65 at 89.</w:t>
      </w:r>
      <w:proofErr w:type="gramEnd"/>
      <w:r w:rsidRPr="00282467">
        <w:rPr>
          <w:rFonts w:ascii="Times New Roman" w:hAnsi="Times New Roman" w:cs="Times New Roman"/>
          <w:sz w:val="24"/>
          <w:szCs w:val="24"/>
        </w:rPr>
        <w:t xml:space="preserve"> Furthermore, the posting of the results must be on the notice board and website. The word </w:t>
      </w:r>
      <w:r>
        <w:rPr>
          <w:rFonts w:ascii="Times New Roman" w:hAnsi="Times New Roman" w:cs="Times New Roman"/>
          <w:sz w:val="24"/>
          <w:szCs w:val="24"/>
        </w:rPr>
        <w:t>‘</w:t>
      </w:r>
      <w:r w:rsidRPr="00282467">
        <w:rPr>
          <w:rFonts w:ascii="Times New Roman" w:hAnsi="Times New Roman" w:cs="Times New Roman"/>
          <w:sz w:val="24"/>
          <w:szCs w:val="24"/>
        </w:rPr>
        <w:t>and</w:t>
      </w:r>
      <w:r>
        <w:rPr>
          <w:rFonts w:ascii="Times New Roman" w:hAnsi="Times New Roman" w:cs="Times New Roman"/>
          <w:sz w:val="24"/>
          <w:szCs w:val="24"/>
        </w:rPr>
        <w:t>’</w:t>
      </w:r>
      <w:r w:rsidRPr="00282467">
        <w:rPr>
          <w:rFonts w:ascii="Times New Roman" w:hAnsi="Times New Roman" w:cs="Times New Roman"/>
          <w:sz w:val="24"/>
          <w:szCs w:val="24"/>
        </w:rPr>
        <w:t xml:space="preserve"> is conjunctive which means that the result must not only be posted on the notice board, but also on the website. A website is defined by the English Dictionary as “a computer connected to the internet that maintains a series of web pages on the </w:t>
      </w:r>
      <w:proofErr w:type="gramStart"/>
      <w:r w:rsidRPr="00282467">
        <w:rPr>
          <w:rFonts w:ascii="Times New Roman" w:hAnsi="Times New Roman" w:cs="Times New Roman"/>
          <w:sz w:val="24"/>
          <w:szCs w:val="24"/>
        </w:rPr>
        <w:t>world wide web</w:t>
      </w:r>
      <w:proofErr w:type="gramEnd"/>
      <w:r>
        <w:rPr>
          <w:rFonts w:ascii="Times New Roman" w:hAnsi="Times New Roman" w:cs="Times New Roman"/>
          <w:sz w:val="24"/>
          <w:szCs w:val="24"/>
        </w:rPr>
        <w:t>.</w:t>
      </w:r>
      <w:r w:rsidRPr="00282467">
        <w:rPr>
          <w:rFonts w:ascii="Times New Roman" w:hAnsi="Times New Roman" w:cs="Times New Roman"/>
          <w:sz w:val="24"/>
          <w:szCs w:val="24"/>
        </w:rPr>
        <w:t>” It also defines a server as “a digital computer that provides workstations on a network with controlled access to shared resources.” In the light of the above clarifications, it will not be out of place to emphasise that as a fact duly proved as earlier indicated and by law as per the Electoral Act 2010 (as amended), there exists a website managed and controlled by the 1</w:t>
      </w:r>
      <w:r w:rsidRPr="00282467">
        <w:rPr>
          <w:rFonts w:ascii="Times New Roman" w:hAnsi="Times New Roman" w:cs="Times New Roman"/>
          <w:sz w:val="24"/>
          <w:szCs w:val="24"/>
          <w:vertAlign w:val="superscript"/>
        </w:rPr>
        <w:t>st</w:t>
      </w:r>
      <w:r>
        <w:rPr>
          <w:rFonts w:ascii="Times New Roman" w:hAnsi="Times New Roman" w:cs="Times New Roman"/>
          <w:sz w:val="24"/>
          <w:szCs w:val="24"/>
        </w:rPr>
        <w:t xml:space="preserve"> Respondent.</w:t>
      </w:r>
    </w:p>
    <w:p w:rsidR="00047BFF" w:rsidRDefault="00047BFF" w:rsidP="00286CE5">
      <w:pPr>
        <w:spacing w:line="480" w:lineRule="auto"/>
        <w:ind w:left="363"/>
        <w:jc w:val="both"/>
        <w:rPr>
          <w:rFonts w:ascii="Times New Roman" w:hAnsi="Times New Roman" w:cs="Times New Roman"/>
          <w:sz w:val="24"/>
          <w:szCs w:val="24"/>
        </w:rPr>
      </w:pPr>
    </w:p>
    <w:p w:rsidR="00047BFF" w:rsidRDefault="00047BFF" w:rsidP="00493EAC">
      <w:pPr>
        <w:spacing w:line="480" w:lineRule="auto"/>
        <w:jc w:val="both"/>
        <w:rPr>
          <w:rFonts w:ascii="Times New Roman" w:hAnsi="Times New Roman" w:cs="Times New Roman"/>
          <w:sz w:val="24"/>
          <w:szCs w:val="24"/>
        </w:rPr>
      </w:pPr>
      <w:r w:rsidRPr="00153F7E">
        <w:rPr>
          <w:rFonts w:ascii="Times New Roman" w:hAnsi="Times New Roman" w:cs="Times New Roman"/>
          <w:sz w:val="24"/>
          <w:szCs w:val="24"/>
        </w:rPr>
        <w:t>From the foregoing, it is crystal clear that while the guidelines made provision for the use of electronic devices, same was not absolutely captured in the Electoral Act</w:t>
      </w:r>
      <w:r>
        <w:rPr>
          <w:rFonts w:ascii="Times New Roman" w:hAnsi="Times New Roman" w:cs="Times New Roman"/>
          <w:sz w:val="24"/>
          <w:szCs w:val="24"/>
        </w:rPr>
        <w:t>,</w:t>
      </w:r>
      <w:r w:rsidRPr="00153F7E">
        <w:rPr>
          <w:rFonts w:ascii="Times New Roman" w:hAnsi="Times New Roman" w:cs="Times New Roman"/>
          <w:sz w:val="24"/>
          <w:szCs w:val="24"/>
          <w:vertAlign w:val="superscript"/>
        </w:rPr>
        <w:footnoteReference w:id="32"/>
      </w:r>
      <w:r w:rsidRPr="00153F7E">
        <w:rPr>
          <w:rFonts w:ascii="Times New Roman" w:hAnsi="Times New Roman" w:cs="Times New Roman"/>
          <w:sz w:val="24"/>
          <w:szCs w:val="24"/>
        </w:rPr>
        <w:t xml:space="preserve"> hence it made room for political actors to manoeuvre their ways out of the use of electronic devises for the transmission of results</w:t>
      </w:r>
      <w:r>
        <w:rPr>
          <w:rFonts w:ascii="Times New Roman" w:hAnsi="Times New Roman" w:cs="Times New Roman"/>
          <w:sz w:val="24"/>
          <w:szCs w:val="24"/>
        </w:rPr>
        <w:t xml:space="preserve"> under the regime of the Electoral Act.</w:t>
      </w:r>
      <w:r>
        <w:rPr>
          <w:rStyle w:val="FootnoteReference"/>
          <w:rFonts w:ascii="Times New Roman" w:hAnsi="Times New Roman" w:cs="Times New Roman"/>
          <w:sz w:val="24"/>
          <w:szCs w:val="24"/>
        </w:rPr>
        <w:footnoteReference w:id="33"/>
      </w:r>
    </w:p>
    <w:p w:rsidR="003739FB" w:rsidRDefault="003739FB" w:rsidP="00493EAC">
      <w:pPr>
        <w:spacing w:line="480" w:lineRule="auto"/>
        <w:jc w:val="both"/>
        <w:rPr>
          <w:rFonts w:ascii="Times New Roman" w:hAnsi="Times New Roman" w:cs="Times New Roman"/>
          <w:sz w:val="24"/>
          <w:szCs w:val="24"/>
        </w:rPr>
      </w:pPr>
    </w:p>
    <w:p w:rsidR="003739FB" w:rsidRDefault="003739FB" w:rsidP="00493EAC">
      <w:pPr>
        <w:spacing w:line="480" w:lineRule="auto"/>
        <w:jc w:val="both"/>
        <w:rPr>
          <w:rFonts w:ascii="Times New Roman" w:hAnsi="Times New Roman" w:cs="Times New Roman"/>
          <w:sz w:val="24"/>
          <w:szCs w:val="24"/>
        </w:rPr>
      </w:pPr>
    </w:p>
    <w:p w:rsidR="00047BFF" w:rsidRPr="003937FB" w:rsidRDefault="00047BFF" w:rsidP="00532437">
      <w:pPr>
        <w:pStyle w:val="ListParagraph"/>
        <w:numPr>
          <w:ilvl w:val="0"/>
          <w:numId w:val="11"/>
        </w:numPr>
        <w:spacing w:line="480" w:lineRule="auto"/>
        <w:jc w:val="both"/>
        <w:rPr>
          <w:rFonts w:ascii="Times New Roman" w:hAnsi="Times New Roman" w:cs="Times New Roman"/>
          <w:sz w:val="24"/>
          <w:szCs w:val="24"/>
        </w:rPr>
      </w:pPr>
      <w:r w:rsidRPr="003937FB">
        <w:rPr>
          <w:rFonts w:ascii="Times New Roman" w:hAnsi="Times New Roman" w:cs="Times New Roman"/>
          <w:b/>
          <w:sz w:val="24"/>
          <w:szCs w:val="24"/>
        </w:rPr>
        <w:lastRenderedPageBreak/>
        <w:t>Electronic Transmission and</w:t>
      </w:r>
      <w:r w:rsidR="00493EAC">
        <w:rPr>
          <w:rFonts w:ascii="Times New Roman" w:hAnsi="Times New Roman" w:cs="Times New Roman"/>
          <w:b/>
          <w:sz w:val="24"/>
          <w:szCs w:val="24"/>
        </w:rPr>
        <w:t xml:space="preserve"> the OSUN State 2022 Election</w:t>
      </w:r>
    </w:p>
    <w:p w:rsidR="00047BFF" w:rsidRPr="00153F7E" w:rsidRDefault="00047BFF" w:rsidP="00493EAC">
      <w:pPr>
        <w:spacing w:line="480" w:lineRule="auto"/>
        <w:jc w:val="both"/>
        <w:rPr>
          <w:rFonts w:ascii="Times New Roman" w:hAnsi="Times New Roman" w:cs="Times New Roman"/>
          <w:sz w:val="24"/>
          <w:szCs w:val="24"/>
        </w:rPr>
      </w:pPr>
      <w:r w:rsidRPr="00153F7E">
        <w:rPr>
          <w:rFonts w:ascii="Times New Roman" w:hAnsi="Times New Roman" w:cs="Times New Roman"/>
          <w:sz w:val="24"/>
          <w:szCs w:val="24"/>
        </w:rPr>
        <w:t xml:space="preserve">The election for the Governor of </w:t>
      </w:r>
      <w:proofErr w:type="spellStart"/>
      <w:r w:rsidRPr="00153F7E">
        <w:rPr>
          <w:rFonts w:ascii="Times New Roman" w:hAnsi="Times New Roman" w:cs="Times New Roman"/>
          <w:sz w:val="24"/>
          <w:szCs w:val="24"/>
        </w:rPr>
        <w:t>Osun</w:t>
      </w:r>
      <w:proofErr w:type="spellEnd"/>
      <w:r w:rsidRPr="00153F7E">
        <w:rPr>
          <w:rFonts w:ascii="Times New Roman" w:hAnsi="Times New Roman" w:cs="Times New Roman"/>
          <w:sz w:val="24"/>
          <w:szCs w:val="24"/>
        </w:rPr>
        <w:t xml:space="preserve"> State held in 2022 under the new Electoral Act regime and the outcome of the election was challenged up to the level of t</w:t>
      </w:r>
      <w:r w:rsidR="00493EAC">
        <w:rPr>
          <w:rFonts w:ascii="Times New Roman" w:hAnsi="Times New Roman" w:cs="Times New Roman"/>
          <w:sz w:val="24"/>
          <w:szCs w:val="24"/>
        </w:rPr>
        <w:t xml:space="preserve">he apex Court. </w:t>
      </w:r>
      <w:proofErr w:type="gramStart"/>
      <w:r w:rsidR="00493EAC">
        <w:rPr>
          <w:rFonts w:ascii="Times New Roman" w:hAnsi="Times New Roman" w:cs="Times New Roman"/>
          <w:sz w:val="24"/>
          <w:szCs w:val="24"/>
        </w:rPr>
        <w:t>The facts of the case</w:t>
      </w:r>
      <w:r w:rsidRPr="00153F7E">
        <w:rPr>
          <w:rFonts w:ascii="Times New Roman" w:hAnsi="Times New Roman" w:cs="Times New Roman"/>
          <w:sz w:val="24"/>
          <w:szCs w:val="24"/>
        </w:rPr>
        <w:t xml:space="preserve"> </w:t>
      </w:r>
      <w:r w:rsidR="00493EAC">
        <w:rPr>
          <w:rFonts w:ascii="Times New Roman" w:hAnsi="Times New Roman" w:cs="Times New Roman"/>
          <w:sz w:val="24"/>
          <w:szCs w:val="24"/>
        </w:rPr>
        <w:t xml:space="preserve">of </w:t>
      </w:r>
      <w:proofErr w:type="spellStart"/>
      <w:r w:rsidRPr="00493EAC">
        <w:rPr>
          <w:rFonts w:ascii="Times New Roman" w:hAnsi="Times New Roman" w:cs="Times New Roman"/>
          <w:sz w:val="24"/>
          <w:szCs w:val="24"/>
        </w:rPr>
        <w:t>O</w:t>
      </w:r>
      <w:r w:rsidR="00493EAC">
        <w:rPr>
          <w:rFonts w:ascii="Times New Roman" w:hAnsi="Times New Roman" w:cs="Times New Roman"/>
          <w:sz w:val="24"/>
          <w:szCs w:val="24"/>
        </w:rPr>
        <w:t>yetola</w:t>
      </w:r>
      <w:proofErr w:type="spellEnd"/>
      <w:r w:rsidR="00493EAC">
        <w:rPr>
          <w:rFonts w:ascii="Times New Roman" w:hAnsi="Times New Roman" w:cs="Times New Roman"/>
          <w:sz w:val="24"/>
          <w:szCs w:val="24"/>
        </w:rPr>
        <w:t xml:space="preserve"> </w:t>
      </w:r>
      <w:r w:rsidRPr="00493EAC">
        <w:rPr>
          <w:rFonts w:ascii="Times New Roman" w:hAnsi="Times New Roman" w:cs="Times New Roman"/>
          <w:sz w:val="24"/>
          <w:szCs w:val="24"/>
        </w:rPr>
        <w:t xml:space="preserve">&amp; </w:t>
      </w:r>
      <w:proofErr w:type="spellStart"/>
      <w:r w:rsidR="00493EAC">
        <w:rPr>
          <w:rFonts w:ascii="Times New Roman" w:hAnsi="Times New Roman" w:cs="Times New Roman"/>
          <w:sz w:val="24"/>
          <w:szCs w:val="24"/>
        </w:rPr>
        <w:t>anor</w:t>
      </w:r>
      <w:proofErr w:type="spellEnd"/>
      <w:r w:rsidR="00493EAC">
        <w:rPr>
          <w:rFonts w:ascii="Times New Roman" w:hAnsi="Times New Roman" w:cs="Times New Roman"/>
          <w:sz w:val="24"/>
          <w:szCs w:val="24"/>
        </w:rPr>
        <w:t>.</w:t>
      </w:r>
      <w:proofErr w:type="gramEnd"/>
      <w:r w:rsidRPr="00493EAC">
        <w:rPr>
          <w:rFonts w:ascii="Times New Roman" w:hAnsi="Times New Roman" w:cs="Times New Roman"/>
          <w:sz w:val="24"/>
          <w:szCs w:val="24"/>
        </w:rPr>
        <w:t xml:space="preserve"> </w:t>
      </w:r>
      <w:proofErr w:type="gramStart"/>
      <w:r w:rsidR="00493EAC">
        <w:rPr>
          <w:rFonts w:ascii="Times New Roman" w:hAnsi="Times New Roman" w:cs="Times New Roman"/>
          <w:sz w:val="24"/>
          <w:szCs w:val="24"/>
        </w:rPr>
        <w:t>v</w:t>
      </w:r>
      <w:proofErr w:type="gramEnd"/>
      <w:r w:rsidRPr="00493EAC">
        <w:rPr>
          <w:rFonts w:ascii="Times New Roman" w:hAnsi="Times New Roman" w:cs="Times New Roman"/>
          <w:sz w:val="24"/>
          <w:szCs w:val="24"/>
        </w:rPr>
        <w:t xml:space="preserve"> INEC &amp; </w:t>
      </w:r>
      <w:proofErr w:type="spellStart"/>
      <w:r w:rsidR="00493EAC">
        <w:rPr>
          <w:rFonts w:ascii="Times New Roman" w:hAnsi="Times New Roman" w:cs="Times New Roman"/>
          <w:sz w:val="24"/>
          <w:szCs w:val="24"/>
        </w:rPr>
        <w:t>ors</w:t>
      </w:r>
      <w:proofErr w:type="spellEnd"/>
      <w:r w:rsidR="00493EAC">
        <w:rPr>
          <w:rFonts w:ascii="Times New Roman" w:hAnsi="Times New Roman" w:cs="Times New Roman"/>
          <w:sz w:val="24"/>
          <w:szCs w:val="24"/>
        </w:rPr>
        <w:t>.</w:t>
      </w:r>
      <w:r w:rsidRPr="00153F7E">
        <w:rPr>
          <w:rFonts w:ascii="Times New Roman" w:hAnsi="Times New Roman" w:cs="Times New Roman"/>
          <w:b/>
          <w:i/>
          <w:sz w:val="24"/>
          <w:szCs w:val="24"/>
          <w:vertAlign w:val="superscript"/>
        </w:rPr>
        <w:footnoteReference w:id="34"/>
      </w:r>
      <w:r w:rsidRPr="00153F7E">
        <w:rPr>
          <w:rFonts w:ascii="Times New Roman" w:hAnsi="Times New Roman" w:cs="Times New Roman"/>
          <w:sz w:val="24"/>
          <w:szCs w:val="24"/>
        </w:rPr>
        <w:t xml:space="preserve"> </w:t>
      </w:r>
      <w:proofErr w:type="gramStart"/>
      <w:r w:rsidRPr="00153F7E">
        <w:rPr>
          <w:rFonts w:ascii="Times New Roman" w:hAnsi="Times New Roman" w:cs="Times New Roman"/>
          <w:sz w:val="24"/>
          <w:szCs w:val="24"/>
        </w:rPr>
        <w:t>is</w:t>
      </w:r>
      <w:proofErr w:type="gramEnd"/>
      <w:r w:rsidRPr="00153F7E">
        <w:rPr>
          <w:rFonts w:ascii="Times New Roman" w:hAnsi="Times New Roman" w:cs="Times New Roman"/>
          <w:sz w:val="24"/>
          <w:szCs w:val="24"/>
        </w:rPr>
        <w:t xml:space="preserve"> that an appeal was filed at the </w:t>
      </w:r>
      <w:r w:rsidR="00493EAC">
        <w:rPr>
          <w:rFonts w:ascii="Times New Roman" w:hAnsi="Times New Roman" w:cs="Times New Roman"/>
          <w:sz w:val="24"/>
          <w:szCs w:val="24"/>
        </w:rPr>
        <w:t>Supreme c</w:t>
      </w:r>
      <w:r w:rsidRPr="00153F7E">
        <w:rPr>
          <w:rFonts w:ascii="Times New Roman" w:hAnsi="Times New Roman" w:cs="Times New Roman"/>
          <w:sz w:val="24"/>
          <w:szCs w:val="24"/>
        </w:rPr>
        <w:t>ourt against the decision of the Court of</w:t>
      </w:r>
      <w:r>
        <w:rPr>
          <w:rFonts w:ascii="Times New Roman" w:hAnsi="Times New Roman" w:cs="Times New Roman"/>
          <w:sz w:val="24"/>
          <w:szCs w:val="24"/>
        </w:rPr>
        <w:t xml:space="preserve"> </w:t>
      </w:r>
      <w:r w:rsidRPr="00153F7E">
        <w:rPr>
          <w:rFonts w:ascii="Times New Roman" w:hAnsi="Times New Roman" w:cs="Times New Roman"/>
          <w:sz w:val="24"/>
          <w:szCs w:val="24"/>
        </w:rPr>
        <w:t xml:space="preserve">Appeal which emanated from the decision of the </w:t>
      </w:r>
      <w:proofErr w:type="spellStart"/>
      <w:r w:rsidRPr="00153F7E">
        <w:rPr>
          <w:rFonts w:ascii="Times New Roman" w:hAnsi="Times New Roman" w:cs="Times New Roman"/>
          <w:sz w:val="24"/>
          <w:szCs w:val="24"/>
        </w:rPr>
        <w:t>Osun</w:t>
      </w:r>
      <w:proofErr w:type="spellEnd"/>
      <w:r w:rsidRPr="00153F7E">
        <w:rPr>
          <w:rFonts w:ascii="Times New Roman" w:hAnsi="Times New Roman" w:cs="Times New Roman"/>
          <w:sz w:val="24"/>
          <w:szCs w:val="24"/>
        </w:rPr>
        <w:t xml:space="preserve"> State Governors</w:t>
      </w:r>
      <w:r w:rsidR="00493EAC">
        <w:rPr>
          <w:rFonts w:ascii="Times New Roman" w:hAnsi="Times New Roman" w:cs="Times New Roman"/>
          <w:sz w:val="24"/>
          <w:szCs w:val="24"/>
        </w:rPr>
        <w:t xml:space="preserve">hip Election Petition Tribunal following </w:t>
      </w:r>
      <w:r w:rsidRPr="00153F7E">
        <w:rPr>
          <w:rFonts w:ascii="Times New Roman" w:hAnsi="Times New Roman" w:cs="Times New Roman"/>
          <w:sz w:val="24"/>
          <w:szCs w:val="24"/>
        </w:rPr>
        <w:t>an election held on 16</w:t>
      </w:r>
      <w:r w:rsidRPr="00153F7E">
        <w:rPr>
          <w:rFonts w:ascii="Times New Roman" w:hAnsi="Times New Roman" w:cs="Times New Roman"/>
          <w:sz w:val="24"/>
          <w:szCs w:val="24"/>
          <w:vertAlign w:val="superscript"/>
        </w:rPr>
        <w:t>th</w:t>
      </w:r>
      <w:r w:rsidR="00493EAC">
        <w:rPr>
          <w:rFonts w:ascii="Times New Roman" w:hAnsi="Times New Roman" w:cs="Times New Roman"/>
          <w:sz w:val="24"/>
          <w:szCs w:val="24"/>
        </w:rPr>
        <w:t xml:space="preserve"> July</w:t>
      </w:r>
      <w:r w:rsidRPr="00153F7E">
        <w:rPr>
          <w:rFonts w:ascii="Times New Roman" w:hAnsi="Times New Roman" w:cs="Times New Roman"/>
          <w:sz w:val="24"/>
          <w:szCs w:val="24"/>
        </w:rPr>
        <w:t xml:space="preserve"> 2022. It is noteworthy that the electronic device used during this election was the Bimodal Voter Accreditation Syste</w:t>
      </w:r>
      <w:r w:rsidR="00493EAC">
        <w:rPr>
          <w:rFonts w:ascii="Times New Roman" w:hAnsi="Times New Roman" w:cs="Times New Roman"/>
          <w:sz w:val="24"/>
          <w:szCs w:val="24"/>
        </w:rPr>
        <w:t xml:space="preserve">m (BVAS), and the Electoral Act of 2022 </w:t>
      </w:r>
      <w:r w:rsidRPr="00153F7E">
        <w:rPr>
          <w:rFonts w:ascii="Times New Roman" w:hAnsi="Times New Roman" w:cs="Times New Roman"/>
          <w:sz w:val="24"/>
          <w:szCs w:val="24"/>
        </w:rPr>
        <w:t xml:space="preserve">had been passed into law and </w:t>
      </w:r>
      <w:proofErr w:type="gramStart"/>
      <w:r w:rsidRPr="00153F7E">
        <w:rPr>
          <w:rFonts w:ascii="Times New Roman" w:hAnsi="Times New Roman" w:cs="Times New Roman"/>
          <w:sz w:val="24"/>
          <w:szCs w:val="24"/>
        </w:rPr>
        <w:t>assented</w:t>
      </w:r>
      <w:proofErr w:type="gramEnd"/>
      <w:r w:rsidRPr="00153F7E">
        <w:rPr>
          <w:rFonts w:ascii="Times New Roman" w:hAnsi="Times New Roman" w:cs="Times New Roman"/>
          <w:sz w:val="24"/>
          <w:szCs w:val="24"/>
        </w:rPr>
        <w:t xml:space="preserve"> to by President </w:t>
      </w:r>
      <w:proofErr w:type="spellStart"/>
      <w:r w:rsidRPr="00153F7E">
        <w:rPr>
          <w:rFonts w:ascii="Times New Roman" w:hAnsi="Times New Roman" w:cs="Times New Roman"/>
          <w:sz w:val="24"/>
          <w:szCs w:val="24"/>
        </w:rPr>
        <w:t>Muhammadu</w:t>
      </w:r>
      <w:proofErr w:type="spellEnd"/>
      <w:r w:rsidRPr="00153F7E">
        <w:rPr>
          <w:rFonts w:ascii="Times New Roman" w:hAnsi="Times New Roman" w:cs="Times New Roman"/>
          <w:sz w:val="24"/>
          <w:szCs w:val="24"/>
        </w:rPr>
        <w:t xml:space="preserve"> </w:t>
      </w:r>
      <w:proofErr w:type="spellStart"/>
      <w:r w:rsidRPr="00153F7E">
        <w:rPr>
          <w:rFonts w:ascii="Times New Roman" w:hAnsi="Times New Roman" w:cs="Times New Roman"/>
          <w:sz w:val="24"/>
          <w:szCs w:val="24"/>
        </w:rPr>
        <w:t>Buhari</w:t>
      </w:r>
      <w:proofErr w:type="spellEnd"/>
      <w:r w:rsidRPr="00153F7E">
        <w:rPr>
          <w:rFonts w:ascii="Times New Roman" w:hAnsi="Times New Roman" w:cs="Times New Roman"/>
          <w:sz w:val="24"/>
          <w:szCs w:val="24"/>
        </w:rPr>
        <w:t>. As usual, INEC issued Guidelines and Regulations and Manuals for the conduct of the election.</w:t>
      </w:r>
    </w:p>
    <w:p w:rsidR="00047BFF" w:rsidRDefault="00047BFF" w:rsidP="00493EAC">
      <w:pPr>
        <w:spacing w:line="480" w:lineRule="auto"/>
        <w:jc w:val="both"/>
        <w:rPr>
          <w:rFonts w:ascii="Times New Roman" w:hAnsi="Times New Roman" w:cs="Times New Roman"/>
          <w:sz w:val="24"/>
          <w:szCs w:val="24"/>
        </w:rPr>
      </w:pPr>
      <w:r w:rsidRPr="00153F7E">
        <w:rPr>
          <w:rFonts w:ascii="Times New Roman" w:hAnsi="Times New Roman" w:cs="Times New Roman"/>
          <w:sz w:val="24"/>
          <w:szCs w:val="24"/>
        </w:rPr>
        <w:t xml:space="preserve">In the petition, </w:t>
      </w:r>
      <w:r w:rsidR="00493EAC">
        <w:rPr>
          <w:rFonts w:ascii="Times New Roman" w:hAnsi="Times New Roman" w:cs="Times New Roman"/>
          <w:sz w:val="24"/>
          <w:szCs w:val="24"/>
        </w:rPr>
        <w:t xml:space="preserve">the </w:t>
      </w:r>
      <w:r w:rsidRPr="00153F7E">
        <w:rPr>
          <w:rFonts w:ascii="Times New Roman" w:hAnsi="Times New Roman" w:cs="Times New Roman"/>
          <w:sz w:val="24"/>
          <w:szCs w:val="24"/>
        </w:rPr>
        <w:t xml:space="preserve">grounds </w:t>
      </w:r>
      <w:r w:rsidR="00493EAC">
        <w:rPr>
          <w:rFonts w:ascii="Times New Roman" w:hAnsi="Times New Roman" w:cs="Times New Roman"/>
          <w:sz w:val="24"/>
          <w:szCs w:val="24"/>
        </w:rPr>
        <w:t xml:space="preserve">of appeal </w:t>
      </w:r>
      <w:r w:rsidRPr="00153F7E">
        <w:rPr>
          <w:rFonts w:ascii="Times New Roman" w:hAnsi="Times New Roman" w:cs="Times New Roman"/>
          <w:sz w:val="24"/>
          <w:szCs w:val="24"/>
        </w:rPr>
        <w:t>were based on the same allegation of facts of non-compliance with the Electoral Act and INEC Regulations, Guidelines and Manuals in election in 744 polling units across 10 Local Government Area</w:t>
      </w:r>
      <w:r>
        <w:rPr>
          <w:rFonts w:ascii="Times New Roman" w:hAnsi="Times New Roman" w:cs="Times New Roman"/>
          <w:sz w:val="24"/>
          <w:szCs w:val="24"/>
        </w:rPr>
        <w:t>s</w:t>
      </w:r>
      <w:r w:rsidRPr="00153F7E">
        <w:rPr>
          <w:rFonts w:ascii="Times New Roman" w:hAnsi="Times New Roman" w:cs="Times New Roman"/>
          <w:sz w:val="24"/>
          <w:szCs w:val="24"/>
        </w:rPr>
        <w:t xml:space="preserve"> of </w:t>
      </w:r>
      <w:proofErr w:type="spellStart"/>
      <w:r w:rsidRPr="00153F7E">
        <w:rPr>
          <w:rFonts w:ascii="Times New Roman" w:hAnsi="Times New Roman" w:cs="Times New Roman"/>
          <w:sz w:val="24"/>
          <w:szCs w:val="24"/>
        </w:rPr>
        <w:t>Osun</w:t>
      </w:r>
      <w:proofErr w:type="spellEnd"/>
      <w:r w:rsidRPr="00153F7E">
        <w:rPr>
          <w:rFonts w:ascii="Times New Roman" w:hAnsi="Times New Roman" w:cs="Times New Roman"/>
          <w:sz w:val="24"/>
          <w:szCs w:val="24"/>
        </w:rPr>
        <w:t xml:space="preserve"> State. The petitioners' case was that the elections in 744 polling units in 10 Local Government Areas were </w:t>
      </w:r>
      <w:r>
        <w:rPr>
          <w:rFonts w:ascii="Times New Roman" w:hAnsi="Times New Roman" w:cs="Times New Roman"/>
          <w:sz w:val="24"/>
          <w:szCs w:val="24"/>
        </w:rPr>
        <w:t>characterized by widespread non-</w:t>
      </w:r>
      <w:r w:rsidRPr="00153F7E">
        <w:rPr>
          <w:rFonts w:ascii="Times New Roman" w:hAnsi="Times New Roman" w:cs="Times New Roman"/>
          <w:sz w:val="24"/>
          <w:szCs w:val="24"/>
        </w:rPr>
        <w:t>use of the Bimodal Voter Accreditation System (BVAS) for accreditation of voters, that the presiding officers in the polling units permitted voting in many of the polling units without accreditation and/or ve</w:t>
      </w:r>
      <w:r w:rsidR="00493EAC">
        <w:rPr>
          <w:rFonts w:ascii="Times New Roman" w:hAnsi="Times New Roman" w:cs="Times New Roman"/>
          <w:sz w:val="24"/>
          <w:szCs w:val="24"/>
        </w:rPr>
        <w:t xml:space="preserve">rification with the use of BVAS and </w:t>
      </w:r>
      <w:r w:rsidRPr="00153F7E">
        <w:rPr>
          <w:rFonts w:ascii="Times New Roman" w:hAnsi="Times New Roman" w:cs="Times New Roman"/>
          <w:sz w:val="24"/>
          <w:szCs w:val="24"/>
        </w:rPr>
        <w:t>that there was no proper accreditation of voters in the said 744 polling units,</w:t>
      </w:r>
      <w:r w:rsidR="00493EAC">
        <w:rPr>
          <w:rFonts w:ascii="Times New Roman" w:hAnsi="Times New Roman" w:cs="Times New Roman"/>
          <w:sz w:val="24"/>
          <w:szCs w:val="24"/>
        </w:rPr>
        <w:t xml:space="preserve"> of which </w:t>
      </w:r>
      <w:r w:rsidRPr="00153F7E">
        <w:rPr>
          <w:rFonts w:ascii="Times New Roman" w:hAnsi="Times New Roman" w:cs="Times New Roman"/>
          <w:sz w:val="24"/>
          <w:szCs w:val="24"/>
        </w:rPr>
        <w:t>about 173,655 of the votes cast were from</w:t>
      </w:r>
      <w:r w:rsidR="00493EAC">
        <w:rPr>
          <w:rFonts w:ascii="Times New Roman" w:hAnsi="Times New Roman" w:cs="Times New Roman"/>
          <w:sz w:val="24"/>
          <w:szCs w:val="24"/>
        </w:rPr>
        <w:t xml:space="preserve"> voters not validly accredited as well as the fact </w:t>
      </w:r>
      <w:r w:rsidRPr="00153F7E">
        <w:rPr>
          <w:rFonts w:ascii="Times New Roman" w:hAnsi="Times New Roman" w:cs="Times New Roman"/>
          <w:sz w:val="24"/>
          <w:szCs w:val="24"/>
        </w:rPr>
        <w:t xml:space="preserve">that accreditation with BVAS was not done for a large number of voters in the 744 polling units, </w:t>
      </w:r>
      <w:r w:rsidR="00493EAC">
        <w:rPr>
          <w:rFonts w:ascii="Times New Roman" w:hAnsi="Times New Roman" w:cs="Times New Roman"/>
          <w:sz w:val="24"/>
          <w:szCs w:val="24"/>
        </w:rPr>
        <w:t xml:space="preserve">and </w:t>
      </w:r>
      <w:r w:rsidRPr="00153F7E">
        <w:rPr>
          <w:rFonts w:ascii="Times New Roman" w:hAnsi="Times New Roman" w:cs="Times New Roman"/>
          <w:sz w:val="24"/>
          <w:szCs w:val="24"/>
        </w:rPr>
        <w:t xml:space="preserve">that the failure to use BVAS to accredit and verify voters in any polling unit rendered the election and results from the election in such unit void, </w:t>
      </w:r>
      <w:r w:rsidR="00CF2F33">
        <w:rPr>
          <w:rFonts w:ascii="Times New Roman" w:hAnsi="Times New Roman" w:cs="Times New Roman"/>
          <w:sz w:val="24"/>
          <w:szCs w:val="24"/>
        </w:rPr>
        <w:t xml:space="preserve">and </w:t>
      </w:r>
      <w:r w:rsidRPr="00153F7E">
        <w:rPr>
          <w:rFonts w:ascii="Times New Roman" w:hAnsi="Times New Roman" w:cs="Times New Roman"/>
          <w:sz w:val="24"/>
          <w:szCs w:val="24"/>
        </w:rPr>
        <w:t xml:space="preserve">that the total number of accredited </w:t>
      </w:r>
      <w:r w:rsidRPr="00153F7E">
        <w:rPr>
          <w:rFonts w:ascii="Times New Roman" w:hAnsi="Times New Roman" w:cs="Times New Roman"/>
          <w:sz w:val="24"/>
          <w:szCs w:val="24"/>
        </w:rPr>
        <w:lastRenderedPageBreak/>
        <w:t>and verified voters recorded in the BVAS are at variance with the total number of votes cast in the forms EC8A for each of the 744 polling units, that the results in the Form EC8A for each unit show that the number of votes cast exceed the number of accredited voters recorded in the BVAS, that in the counting of the votes cast in each polling unit</w:t>
      </w:r>
      <w:r w:rsidR="00CF2F33">
        <w:rPr>
          <w:rFonts w:ascii="Times New Roman" w:hAnsi="Times New Roman" w:cs="Times New Roman"/>
          <w:sz w:val="24"/>
          <w:szCs w:val="24"/>
        </w:rPr>
        <w:t>s</w:t>
      </w:r>
      <w:r w:rsidRPr="00153F7E">
        <w:rPr>
          <w:rFonts w:ascii="Times New Roman" w:hAnsi="Times New Roman" w:cs="Times New Roman"/>
          <w:sz w:val="24"/>
          <w:szCs w:val="24"/>
        </w:rPr>
        <w:t xml:space="preserve"> and the collation of the results of the election, it is the number of accredited voters recorded in the Bimodal Voter Accreditation System (BVAS) and transmitted directly from the polling units by the BVAS to the back end server or data base and the votes or results so recorded by the BVAS and transmitted directly from polling units by the BVAS to the back end server or data base that should be taken into account, that that the BVAS transmits on the spot information of duly accredited voters to the data base of 1</w:t>
      </w:r>
      <w:r w:rsidRPr="00153F7E">
        <w:rPr>
          <w:rFonts w:ascii="Times New Roman" w:hAnsi="Times New Roman" w:cs="Times New Roman"/>
          <w:sz w:val="24"/>
          <w:szCs w:val="24"/>
          <w:vertAlign w:val="superscript"/>
        </w:rPr>
        <w:t>st</w:t>
      </w:r>
      <w:r w:rsidRPr="00153F7E">
        <w:rPr>
          <w:rFonts w:ascii="Times New Roman" w:hAnsi="Times New Roman" w:cs="Times New Roman"/>
          <w:sz w:val="24"/>
          <w:szCs w:val="24"/>
        </w:rPr>
        <w:t xml:space="preserve"> Respondent and the information from such data base form the valid basis for voters to partake in the voting process by casting their votes for candidates of their choice, that the votes credited to the 1st appellant and 2</w:t>
      </w:r>
      <w:r w:rsidRPr="00153F7E">
        <w:rPr>
          <w:rFonts w:ascii="Times New Roman" w:hAnsi="Times New Roman" w:cs="Times New Roman"/>
          <w:sz w:val="24"/>
          <w:szCs w:val="24"/>
          <w:vertAlign w:val="superscript"/>
        </w:rPr>
        <w:t>nd</w:t>
      </w:r>
      <w:r w:rsidRPr="00153F7E">
        <w:rPr>
          <w:rFonts w:ascii="Times New Roman" w:hAnsi="Times New Roman" w:cs="Times New Roman"/>
          <w:sz w:val="24"/>
          <w:szCs w:val="24"/>
        </w:rPr>
        <w:t xml:space="preserve"> respondent in the 744 polling units are vitiated and void for non-compliance with the mandatory provisions of the Electoral Act on accreditation and verification of voters in the elections and that upon deduction of the unlawful votes in the 744 polling units, it is the 1st petitioner and not the 2</w:t>
      </w:r>
      <w:r w:rsidRPr="00153F7E">
        <w:rPr>
          <w:rFonts w:ascii="Times New Roman" w:hAnsi="Times New Roman" w:cs="Times New Roman"/>
          <w:sz w:val="24"/>
          <w:szCs w:val="24"/>
          <w:vertAlign w:val="superscript"/>
        </w:rPr>
        <w:t>nd</w:t>
      </w:r>
      <w:r w:rsidRPr="00153F7E">
        <w:rPr>
          <w:rFonts w:ascii="Times New Roman" w:hAnsi="Times New Roman" w:cs="Times New Roman"/>
          <w:sz w:val="24"/>
          <w:szCs w:val="24"/>
        </w:rPr>
        <w:t xml:space="preserve"> respondent who scored majority of the votes cast in the election and satisfied the requirements for election as Governor of </w:t>
      </w:r>
      <w:proofErr w:type="spellStart"/>
      <w:r w:rsidRPr="00153F7E">
        <w:rPr>
          <w:rFonts w:ascii="Times New Roman" w:hAnsi="Times New Roman" w:cs="Times New Roman"/>
          <w:sz w:val="24"/>
          <w:szCs w:val="24"/>
        </w:rPr>
        <w:t>Osun</w:t>
      </w:r>
      <w:proofErr w:type="spellEnd"/>
      <w:r w:rsidRPr="00153F7E">
        <w:rPr>
          <w:rFonts w:ascii="Times New Roman" w:hAnsi="Times New Roman" w:cs="Times New Roman"/>
          <w:sz w:val="24"/>
          <w:szCs w:val="24"/>
        </w:rPr>
        <w:t xml:space="preserve"> State and ought to have been so declared.</w:t>
      </w:r>
    </w:p>
    <w:p w:rsidR="00047BFF" w:rsidRDefault="00047BFF" w:rsidP="00CF2F33">
      <w:pPr>
        <w:spacing w:line="480" w:lineRule="auto"/>
        <w:jc w:val="both"/>
        <w:rPr>
          <w:rFonts w:ascii="Times New Roman" w:hAnsi="Times New Roman" w:cs="Times New Roman"/>
          <w:sz w:val="24"/>
          <w:szCs w:val="24"/>
        </w:rPr>
      </w:pPr>
      <w:r w:rsidRPr="00153F7E">
        <w:rPr>
          <w:rFonts w:ascii="Times New Roman" w:hAnsi="Times New Roman" w:cs="Times New Roman"/>
          <w:sz w:val="24"/>
          <w:szCs w:val="24"/>
        </w:rPr>
        <w:t>The tribunal granted the petition of the appellants against the election of the 2</w:t>
      </w:r>
      <w:r w:rsidRPr="00153F7E">
        <w:rPr>
          <w:rFonts w:ascii="Times New Roman" w:hAnsi="Times New Roman" w:cs="Times New Roman"/>
          <w:sz w:val="24"/>
          <w:szCs w:val="24"/>
          <w:vertAlign w:val="superscript"/>
        </w:rPr>
        <w:t>nd</w:t>
      </w:r>
      <w:r w:rsidRPr="00153F7E">
        <w:rPr>
          <w:rFonts w:ascii="Times New Roman" w:hAnsi="Times New Roman" w:cs="Times New Roman"/>
          <w:sz w:val="24"/>
          <w:szCs w:val="24"/>
        </w:rPr>
        <w:t xml:space="preserve"> and 3</w:t>
      </w:r>
      <w:r w:rsidRPr="00153F7E">
        <w:rPr>
          <w:rFonts w:ascii="Times New Roman" w:hAnsi="Times New Roman" w:cs="Times New Roman"/>
          <w:sz w:val="24"/>
          <w:szCs w:val="24"/>
          <w:vertAlign w:val="superscript"/>
        </w:rPr>
        <w:t>rd</w:t>
      </w:r>
      <w:r w:rsidRPr="00153F7E">
        <w:rPr>
          <w:rFonts w:ascii="Times New Roman" w:hAnsi="Times New Roman" w:cs="Times New Roman"/>
          <w:sz w:val="24"/>
          <w:szCs w:val="24"/>
        </w:rPr>
        <w:t xml:space="preserve"> respondents and held that the 1st appellant and not the 2</w:t>
      </w:r>
      <w:r w:rsidRPr="00153F7E">
        <w:rPr>
          <w:rFonts w:ascii="Times New Roman" w:hAnsi="Times New Roman" w:cs="Times New Roman"/>
          <w:sz w:val="24"/>
          <w:szCs w:val="24"/>
          <w:vertAlign w:val="superscript"/>
        </w:rPr>
        <w:t>nd</w:t>
      </w:r>
      <w:r w:rsidRPr="00153F7E">
        <w:rPr>
          <w:rFonts w:ascii="Times New Roman" w:hAnsi="Times New Roman" w:cs="Times New Roman"/>
          <w:sz w:val="24"/>
          <w:szCs w:val="24"/>
        </w:rPr>
        <w:t xml:space="preserve"> respondent won the election of Governor of </w:t>
      </w:r>
      <w:proofErr w:type="spellStart"/>
      <w:r w:rsidRPr="00153F7E">
        <w:rPr>
          <w:rFonts w:ascii="Times New Roman" w:hAnsi="Times New Roman" w:cs="Times New Roman"/>
          <w:sz w:val="24"/>
          <w:szCs w:val="24"/>
        </w:rPr>
        <w:t>Osun</w:t>
      </w:r>
      <w:proofErr w:type="spellEnd"/>
      <w:r w:rsidRPr="00153F7E">
        <w:rPr>
          <w:rFonts w:ascii="Times New Roman" w:hAnsi="Times New Roman" w:cs="Times New Roman"/>
          <w:sz w:val="24"/>
          <w:szCs w:val="24"/>
        </w:rPr>
        <w:t xml:space="preserve"> State. On appeal to the Court of Appeal, the decision was set aside and the election of the 2nd respondent was restored.</w:t>
      </w:r>
    </w:p>
    <w:p w:rsidR="00047BFF" w:rsidRDefault="00047BFF" w:rsidP="00CF2F33">
      <w:pPr>
        <w:spacing w:line="480" w:lineRule="auto"/>
        <w:jc w:val="both"/>
        <w:rPr>
          <w:rFonts w:ascii="Times New Roman" w:hAnsi="Times New Roman" w:cs="Times New Roman"/>
          <w:sz w:val="24"/>
          <w:szCs w:val="24"/>
        </w:rPr>
      </w:pPr>
      <w:r w:rsidRPr="00153F7E">
        <w:rPr>
          <w:rFonts w:ascii="Times New Roman" w:hAnsi="Times New Roman" w:cs="Times New Roman"/>
          <w:sz w:val="24"/>
          <w:szCs w:val="24"/>
        </w:rPr>
        <w:t xml:space="preserve">The appeal to the Supreme Court was commenced when the appellants filed a notice of appeal against the judgment of the Court of Appeal delivered on 24-3-2023 in </w:t>
      </w:r>
      <w:r w:rsidRPr="00153F7E">
        <w:rPr>
          <w:rFonts w:ascii="Times New Roman" w:hAnsi="Times New Roman" w:cs="Times New Roman"/>
          <w:sz w:val="24"/>
          <w:szCs w:val="24"/>
        </w:rPr>
        <w:lastRenderedPageBreak/>
        <w:t xml:space="preserve">Appeal No. CA/AK/EPT/GOV/01/2023 allowing the appeal to it against the judgment of the </w:t>
      </w:r>
      <w:proofErr w:type="spellStart"/>
      <w:r w:rsidRPr="00153F7E">
        <w:rPr>
          <w:rFonts w:ascii="Times New Roman" w:hAnsi="Times New Roman" w:cs="Times New Roman"/>
          <w:sz w:val="24"/>
          <w:szCs w:val="24"/>
        </w:rPr>
        <w:t>Osun</w:t>
      </w:r>
      <w:proofErr w:type="spellEnd"/>
      <w:r w:rsidRPr="00153F7E">
        <w:rPr>
          <w:rFonts w:ascii="Times New Roman" w:hAnsi="Times New Roman" w:cs="Times New Roman"/>
          <w:sz w:val="24"/>
          <w:szCs w:val="24"/>
        </w:rPr>
        <w:t xml:space="preserve"> State Governorship Election Tribunal delivered on 27-1-2023 in Petition No. </w:t>
      </w:r>
      <w:proofErr w:type="gramStart"/>
      <w:r w:rsidRPr="00153F7E">
        <w:rPr>
          <w:rFonts w:ascii="Times New Roman" w:hAnsi="Times New Roman" w:cs="Times New Roman"/>
          <w:sz w:val="24"/>
          <w:szCs w:val="24"/>
        </w:rPr>
        <w:t>EPT/OS/GOV/01/2022.</w:t>
      </w:r>
      <w:proofErr w:type="gramEnd"/>
      <w:r>
        <w:rPr>
          <w:rFonts w:ascii="Times New Roman" w:hAnsi="Times New Roman" w:cs="Times New Roman"/>
          <w:sz w:val="24"/>
          <w:szCs w:val="24"/>
        </w:rPr>
        <w:t xml:space="preserve"> </w:t>
      </w:r>
      <w:r w:rsidRPr="00153F7E">
        <w:rPr>
          <w:rFonts w:ascii="Times New Roman" w:hAnsi="Times New Roman" w:cs="Times New Roman"/>
          <w:sz w:val="24"/>
          <w:szCs w:val="24"/>
        </w:rPr>
        <w:t>A notice of cross-appeal was equally filed on 6</w:t>
      </w:r>
      <w:r w:rsidRPr="00153F7E">
        <w:rPr>
          <w:rFonts w:ascii="Times New Roman" w:hAnsi="Times New Roman" w:cs="Times New Roman"/>
          <w:sz w:val="24"/>
          <w:szCs w:val="24"/>
          <w:vertAlign w:val="superscript"/>
        </w:rPr>
        <w:t>th</w:t>
      </w:r>
      <w:r w:rsidRPr="00153F7E">
        <w:rPr>
          <w:rFonts w:ascii="Times New Roman" w:hAnsi="Times New Roman" w:cs="Times New Roman"/>
          <w:sz w:val="24"/>
          <w:szCs w:val="24"/>
        </w:rPr>
        <w:t xml:space="preserve"> April, 2023 against the judgment of the Court of Appeal dismissing the cross-appeal to it against the judgment of the Tribunal.</w:t>
      </w:r>
      <w:r>
        <w:rPr>
          <w:rFonts w:ascii="Times New Roman" w:hAnsi="Times New Roman" w:cs="Times New Roman"/>
          <w:sz w:val="24"/>
          <w:szCs w:val="24"/>
        </w:rPr>
        <w:t xml:space="preserve"> Issues were canvassed for the determination of the Court by both parties. </w:t>
      </w:r>
    </w:p>
    <w:p w:rsidR="00CF2F33" w:rsidRDefault="00CF2F33" w:rsidP="00CF2F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Following the above, the court stated that INEC is also vested with </w:t>
      </w:r>
      <w:r w:rsidRPr="000400E4">
        <w:rPr>
          <w:rFonts w:ascii="Times New Roman" w:hAnsi="Times New Roman" w:cs="Times New Roman"/>
          <w:sz w:val="24"/>
          <w:szCs w:val="24"/>
        </w:rPr>
        <w:t>powers to transmit the result of an election from all the Polling Units across the Nation via Smart Card Readers</w:t>
      </w:r>
      <w:r>
        <w:rPr>
          <w:rFonts w:ascii="Times New Roman" w:hAnsi="Times New Roman" w:cs="Times New Roman"/>
          <w:sz w:val="24"/>
          <w:szCs w:val="24"/>
        </w:rPr>
        <w:t xml:space="preserve">. </w:t>
      </w:r>
      <w:r w:rsidR="006B5C1E">
        <w:rPr>
          <w:rFonts w:ascii="Times New Roman" w:hAnsi="Times New Roman" w:cs="Times New Roman"/>
          <w:sz w:val="24"/>
          <w:szCs w:val="24"/>
        </w:rPr>
        <w:t xml:space="preserve">Consequently, </w:t>
      </w:r>
      <w:r>
        <w:rPr>
          <w:rFonts w:ascii="Times New Roman" w:hAnsi="Times New Roman" w:cs="Times New Roman"/>
          <w:sz w:val="24"/>
          <w:szCs w:val="24"/>
        </w:rPr>
        <w:t>t</w:t>
      </w:r>
      <w:r w:rsidRPr="00FE64ED">
        <w:rPr>
          <w:rFonts w:ascii="Times New Roman" w:hAnsi="Times New Roman" w:cs="Times New Roman"/>
          <w:sz w:val="24"/>
          <w:szCs w:val="24"/>
        </w:rPr>
        <w:t xml:space="preserve">he </w:t>
      </w:r>
      <w:r>
        <w:rPr>
          <w:rFonts w:ascii="Times New Roman" w:hAnsi="Times New Roman" w:cs="Times New Roman"/>
          <w:sz w:val="24"/>
          <w:szCs w:val="24"/>
        </w:rPr>
        <w:t>c</w:t>
      </w:r>
      <w:r w:rsidRPr="00FE64ED">
        <w:rPr>
          <w:rFonts w:ascii="Times New Roman" w:hAnsi="Times New Roman" w:cs="Times New Roman"/>
          <w:sz w:val="24"/>
          <w:szCs w:val="24"/>
        </w:rPr>
        <w:t xml:space="preserve">ourt espoused a clear position on </w:t>
      </w:r>
      <w:r>
        <w:rPr>
          <w:rFonts w:ascii="Times New Roman" w:hAnsi="Times New Roman" w:cs="Times New Roman"/>
          <w:sz w:val="24"/>
          <w:szCs w:val="24"/>
        </w:rPr>
        <w:t xml:space="preserve">the interpretation of the </w:t>
      </w:r>
      <w:r w:rsidRPr="00FE64ED">
        <w:rPr>
          <w:rFonts w:ascii="Times New Roman" w:hAnsi="Times New Roman" w:cs="Times New Roman"/>
          <w:sz w:val="24"/>
          <w:szCs w:val="24"/>
        </w:rPr>
        <w:t>use of Sm</w:t>
      </w:r>
      <w:r>
        <w:rPr>
          <w:rFonts w:ascii="Times New Roman" w:hAnsi="Times New Roman" w:cs="Times New Roman"/>
          <w:sz w:val="24"/>
          <w:szCs w:val="24"/>
        </w:rPr>
        <w:t>art Card Readers in an election,</w:t>
      </w:r>
      <w:r w:rsidRPr="00FE64ED">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FE64ED">
        <w:rPr>
          <w:rFonts w:ascii="Times New Roman" w:hAnsi="Times New Roman" w:cs="Times New Roman"/>
          <w:sz w:val="24"/>
          <w:szCs w:val="24"/>
        </w:rPr>
        <w:t>whether section 52</w:t>
      </w:r>
      <w:r>
        <w:rPr>
          <w:rFonts w:ascii="Times New Roman" w:hAnsi="Times New Roman" w:cs="Times New Roman"/>
          <w:sz w:val="24"/>
          <w:szCs w:val="24"/>
        </w:rPr>
        <w:t xml:space="preserve"> </w:t>
      </w:r>
      <w:r w:rsidRPr="00FE64ED">
        <w:rPr>
          <w:rFonts w:ascii="Times New Roman" w:hAnsi="Times New Roman" w:cs="Times New Roman"/>
          <w:sz w:val="24"/>
          <w:szCs w:val="24"/>
        </w:rPr>
        <w:t>(2) of the Electoral Act</w:t>
      </w:r>
      <w:r w:rsidRPr="00153F7E">
        <w:rPr>
          <w:vertAlign w:val="superscript"/>
        </w:rPr>
        <w:footnoteReference w:id="35"/>
      </w:r>
      <w:r w:rsidRPr="00FE64ED">
        <w:rPr>
          <w:rFonts w:ascii="Times New Roman" w:hAnsi="Times New Roman" w:cs="Times New Roman"/>
          <w:sz w:val="24"/>
          <w:szCs w:val="24"/>
        </w:rPr>
        <w:t xml:space="preserve"> empowers INEC to transmit the result of an election from all the Polling Units across the Nation via Smart Card Readers into INEC server</w:t>
      </w:r>
      <w:r>
        <w:rPr>
          <w:rFonts w:ascii="Times New Roman" w:hAnsi="Times New Roman" w:cs="Times New Roman"/>
          <w:sz w:val="24"/>
          <w:szCs w:val="24"/>
        </w:rPr>
        <w:t>.</w:t>
      </w:r>
    </w:p>
    <w:p w:rsidR="00313933" w:rsidRPr="00313933" w:rsidRDefault="00313933" w:rsidP="00286CE5">
      <w:pPr>
        <w:pStyle w:val="ListParagraph"/>
        <w:spacing w:line="480" w:lineRule="auto"/>
        <w:ind w:left="360"/>
        <w:jc w:val="both"/>
        <w:rPr>
          <w:rFonts w:ascii="Times New Roman" w:eastAsia="SimSun" w:hAnsi="Times New Roman" w:cs="Times New Roman"/>
          <w:b/>
          <w:color w:val="000000"/>
          <w:sz w:val="10"/>
          <w:szCs w:val="24"/>
          <w:lang w:val="en-US" w:eastAsia="zh-CN"/>
        </w:rPr>
      </w:pPr>
    </w:p>
    <w:p w:rsidR="0021264E" w:rsidRDefault="006B5C1E" w:rsidP="006B5C1E">
      <w:pPr>
        <w:pStyle w:val="ListParagraph"/>
        <w:numPr>
          <w:ilvl w:val="0"/>
          <w:numId w:val="11"/>
        </w:numPr>
        <w:spacing w:line="480" w:lineRule="auto"/>
        <w:jc w:val="both"/>
        <w:rPr>
          <w:rFonts w:ascii="Times New Roman" w:eastAsia="SimSun" w:hAnsi="Times New Roman" w:cs="Times New Roman"/>
          <w:b/>
          <w:color w:val="000000"/>
          <w:sz w:val="24"/>
          <w:szCs w:val="24"/>
          <w:lang w:val="en-US" w:eastAsia="zh-CN"/>
        </w:rPr>
      </w:pPr>
      <w:r>
        <w:rPr>
          <w:rFonts w:ascii="Times New Roman" w:eastAsia="SimSun" w:hAnsi="Times New Roman" w:cs="Times New Roman"/>
          <w:b/>
          <w:color w:val="000000"/>
          <w:sz w:val="24"/>
          <w:szCs w:val="24"/>
          <w:lang w:val="en-US" w:eastAsia="zh-CN"/>
        </w:rPr>
        <w:t>Conclusion</w:t>
      </w:r>
    </w:p>
    <w:p w:rsidR="007C7432" w:rsidRPr="006B5C1E" w:rsidRDefault="006B5C1E" w:rsidP="006B5C1E">
      <w:pPr>
        <w:spacing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It has been demonstrated that t</w:t>
      </w:r>
      <w:r w:rsidR="007C7432" w:rsidRPr="006B5C1E">
        <w:rPr>
          <w:rFonts w:ascii="Times New Roman" w:eastAsia="SimSun" w:hAnsi="Times New Roman" w:cs="Times New Roman"/>
          <w:sz w:val="24"/>
          <w:szCs w:val="24"/>
          <w:lang w:val="en-US" w:eastAsia="zh-CN"/>
        </w:rPr>
        <w:t>he use of Electronic or technological devices for the transmission of results in the Nigeria elector</w:t>
      </w:r>
      <w:r>
        <w:rPr>
          <w:rFonts w:ascii="Times New Roman" w:eastAsia="SimSun" w:hAnsi="Times New Roman" w:cs="Times New Roman"/>
          <w:sz w:val="24"/>
          <w:szCs w:val="24"/>
          <w:lang w:val="en-US" w:eastAsia="zh-CN"/>
        </w:rPr>
        <w:t xml:space="preserve">al process has greatly improved the electoral process as well as </w:t>
      </w:r>
      <w:r w:rsidR="00B038A2" w:rsidRPr="006B5C1E">
        <w:rPr>
          <w:rFonts w:ascii="Times New Roman" w:eastAsia="SimSun" w:hAnsi="Times New Roman" w:cs="Times New Roman"/>
          <w:sz w:val="24"/>
          <w:szCs w:val="24"/>
          <w:lang w:val="en-US" w:eastAsia="zh-CN"/>
        </w:rPr>
        <w:t>t</w:t>
      </w:r>
      <w:r w:rsidR="007C7432" w:rsidRPr="006B5C1E">
        <w:rPr>
          <w:rFonts w:ascii="Times New Roman" w:eastAsia="SimSun" w:hAnsi="Times New Roman" w:cs="Times New Roman"/>
          <w:sz w:val="24"/>
          <w:szCs w:val="24"/>
          <w:lang w:val="en-US" w:eastAsia="zh-CN"/>
        </w:rPr>
        <w:t xml:space="preserve">he </w:t>
      </w:r>
      <w:r>
        <w:rPr>
          <w:rFonts w:ascii="Times New Roman" w:eastAsia="SimSun" w:hAnsi="Times New Roman" w:cs="Times New Roman"/>
          <w:sz w:val="24"/>
          <w:szCs w:val="24"/>
          <w:lang w:val="en-US" w:eastAsia="zh-CN"/>
        </w:rPr>
        <w:t xml:space="preserve">fact that </w:t>
      </w:r>
      <w:r w:rsidR="007C7432" w:rsidRPr="006B5C1E">
        <w:rPr>
          <w:rFonts w:ascii="Times New Roman" w:eastAsia="SimSun" w:hAnsi="Times New Roman" w:cs="Times New Roman"/>
          <w:sz w:val="24"/>
          <w:szCs w:val="24"/>
          <w:lang w:val="en-US" w:eastAsia="zh-CN"/>
        </w:rPr>
        <w:t>resort to electr</w:t>
      </w:r>
      <w:r w:rsidR="0021264E" w:rsidRPr="006B5C1E">
        <w:rPr>
          <w:rFonts w:ascii="Times New Roman" w:eastAsia="SimSun" w:hAnsi="Times New Roman" w:cs="Times New Roman"/>
          <w:sz w:val="24"/>
          <w:szCs w:val="24"/>
          <w:lang w:val="en-US" w:eastAsia="zh-CN"/>
        </w:rPr>
        <w:t>onic transmission of results ha</w:t>
      </w:r>
      <w:r>
        <w:rPr>
          <w:rFonts w:ascii="Times New Roman" w:eastAsia="SimSun" w:hAnsi="Times New Roman" w:cs="Times New Roman"/>
          <w:sz w:val="24"/>
          <w:szCs w:val="24"/>
          <w:lang w:val="en-US" w:eastAsia="zh-CN"/>
        </w:rPr>
        <w:t>s immensely</w:t>
      </w:r>
      <w:r w:rsidR="007C7432" w:rsidRPr="006B5C1E">
        <w:rPr>
          <w:rFonts w:ascii="Times New Roman" w:eastAsia="SimSun" w:hAnsi="Times New Roman" w:cs="Times New Roman"/>
          <w:sz w:val="24"/>
          <w:szCs w:val="24"/>
          <w:lang w:val="en-US" w:eastAsia="zh-CN"/>
        </w:rPr>
        <w:t xml:space="preserve"> contributed to the electoral credibility of Nigeria </w:t>
      </w:r>
      <w:r>
        <w:rPr>
          <w:rFonts w:ascii="Times New Roman" w:eastAsia="SimSun" w:hAnsi="Times New Roman" w:cs="Times New Roman"/>
          <w:sz w:val="24"/>
          <w:szCs w:val="24"/>
          <w:lang w:val="en-US" w:eastAsia="zh-CN"/>
        </w:rPr>
        <w:t>by considerably reducing</w:t>
      </w:r>
      <w:r w:rsidR="007C7432" w:rsidRPr="006B5C1E">
        <w:rPr>
          <w:rFonts w:ascii="Times New Roman" w:eastAsia="SimSun" w:hAnsi="Times New Roman" w:cs="Times New Roman"/>
          <w:sz w:val="24"/>
          <w:szCs w:val="24"/>
          <w:lang w:val="en-US" w:eastAsia="zh-CN"/>
        </w:rPr>
        <w:t xml:space="preserve"> the incidence of over-voting, </w:t>
      </w:r>
      <w:r>
        <w:rPr>
          <w:rFonts w:ascii="Times New Roman" w:eastAsia="SimSun" w:hAnsi="Times New Roman" w:cs="Times New Roman"/>
          <w:sz w:val="24"/>
          <w:szCs w:val="24"/>
          <w:lang w:val="en-US" w:eastAsia="zh-CN"/>
        </w:rPr>
        <w:t xml:space="preserve">which </w:t>
      </w:r>
      <w:r w:rsidR="007C7432" w:rsidRPr="006B5C1E">
        <w:rPr>
          <w:rFonts w:ascii="Times New Roman" w:eastAsia="SimSun" w:hAnsi="Times New Roman" w:cs="Times New Roman"/>
          <w:sz w:val="24"/>
          <w:szCs w:val="24"/>
          <w:lang w:val="en-US" w:eastAsia="zh-CN"/>
        </w:rPr>
        <w:t>has ensur</w:t>
      </w:r>
      <w:r>
        <w:rPr>
          <w:rFonts w:ascii="Times New Roman" w:eastAsia="SimSun" w:hAnsi="Times New Roman" w:cs="Times New Roman"/>
          <w:sz w:val="24"/>
          <w:szCs w:val="24"/>
          <w:lang w:val="en-US" w:eastAsia="zh-CN"/>
        </w:rPr>
        <w:t xml:space="preserve">ed more electoral participation. Furthermore, the use of electronic devices has enhanced transparency as well as erasing of </w:t>
      </w:r>
      <w:r w:rsidR="007C7432" w:rsidRPr="006B5C1E">
        <w:rPr>
          <w:rFonts w:ascii="Times New Roman" w:eastAsia="SimSun" w:hAnsi="Times New Roman" w:cs="Times New Roman"/>
          <w:sz w:val="24"/>
          <w:szCs w:val="24"/>
          <w:lang w:val="en-US" w:eastAsia="zh-CN"/>
        </w:rPr>
        <w:t xml:space="preserve">electoral malpractices </w:t>
      </w:r>
      <w:r>
        <w:rPr>
          <w:rFonts w:ascii="Times New Roman" w:eastAsia="SimSun" w:hAnsi="Times New Roman" w:cs="Times New Roman"/>
          <w:sz w:val="24"/>
          <w:szCs w:val="24"/>
          <w:lang w:val="en-US" w:eastAsia="zh-CN"/>
        </w:rPr>
        <w:t xml:space="preserve">to the barest minimum. </w:t>
      </w:r>
      <w:r w:rsidR="007C7432" w:rsidRPr="006B5C1E">
        <w:rPr>
          <w:rFonts w:ascii="Times New Roman" w:eastAsia="SimSun" w:hAnsi="Times New Roman" w:cs="Times New Roman"/>
          <w:sz w:val="24"/>
          <w:szCs w:val="24"/>
          <w:lang w:val="en-US" w:eastAsia="zh-CN"/>
        </w:rPr>
        <w:t xml:space="preserve">However, the challenges </w:t>
      </w:r>
      <w:r>
        <w:rPr>
          <w:rFonts w:ascii="Times New Roman" w:eastAsia="SimSun" w:hAnsi="Times New Roman" w:cs="Times New Roman"/>
          <w:sz w:val="24"/>
          <w:szCs w:val="24"/>
          <w:lang w:val="en-US" w:eastAsia="zh-CN"/>
        </w:rPr>
        <w:t xml:space="preserve">associated with </w:t>
      </w:r>
      <w:r w:rsidR="007C7432" w:rsidRPr="006B5C1E">
        <w:rPr>
          <w:rFonts w:ascii="Times New Roman" w:eastAsia="SimSun" w:hAnsi="Times New Roman" w:cs="Times New Roman"/>
          <w:sz w:val="24"/>
          <w:szCs w:val="24"/>
          <w:lang w:val="en-US" w:eastAsia="zh-CN"/>
        </w:rPr>
        <w:t>electronic transmission of results through the use electronic devices in the Nigeria</w:t>
      </w:r>
      <w:r>
        <w:rPr>
          <w:rFonts w:ascii="Times New Roman" w:eastAsia="SimSun" w:hAnsi="Times New Roman" w:cs="Times New Roman"/>
          <w:sz w:val="24"/>
          <w:szCs w:val="24"/>
          <w:lang w:val="en-US" w:eastAsia="zh-CN"/>
        </w:rPr>
        <w:t xml:space="preserve">n electoral process include </w:t>
      </w:r>
      <w:r w:rsidR="007C7432" w:rsidRPr="006B5C1E">
        <w:rPr>
          <w:rFonts w:ascii="Times New Roman" w:eastAsia="SimSun" w:hAnsi="Times New Roman" w:cs="Times New Roman"/>
          <w:sz w:val="24"/>
          <w:szCs w:val="24"/>
          <w:lang w:val="en-US" w:eastAsia="zh-CN"/>
        </w:rPr>
        <w:t xml:space="preserve">lack of adequate funding, manipulation by corrupt </w:t>
      </w:r>
      <w:r>
        <w:rPr>
          <w:rFonts w:ascii="Times New Roman" w:eastAsia="SimSun" w:hAnsi="Times New Roman" w:cs="Times New Roman"/>
          <w:sz w:val="24"/>
          <w:szCs w:val="24"/>
          <w:lang w:val="en-US" w:eastAsia="zh-CN"/>
        </w:rPr>
        <w:t>ill-</w:t>
      </w:r>
      <w:r w:rsidR="007C7432" w:rsidRPr="006B5C1E">
        <w:rPr>
          <w:rFonts w:ascii="Times New Roman" w:eastAsia="SimSun" w:hAnsi="Times New Roman" w:cs="Times New Roman"/>
          <w:sz w:val="24"/>
          <w:szCs w:val="24"/>
          <w:lang w:val="en-US" w:eastAsia="zh-CN"/>
        </w:rPr>
        <w:t>motivated officials, lack of integrity by ad-hoc staff, poor IT skills b</w:t>
      </w:r>
      <w:r>
        <w:rPr>
          <w:rFonts w:ascii="Times New Roman" w:eastAsia="SimSun" w:hAnsi="Times New Roman" w:cs="Times New Roman"/>
          <w:sz w:val="24"/>
          <w:szCs w:val="24"/>
          <w:lang w:val="en-US" w:eastAsia="zh-CN"/>
        </w:rPr>
        <w:t>y INEC officials, cyber-attacks, and et cetera.</w:t>
      </w:r>
    </w:p>
    <w:p w:rsidR="00FB73E3" w:rsidRPr="00182941" w:rsidRDefault="006B5C1E" w:rsidP="00182941">
      <w:pPr>
        <w:spacing w:after="0" w:line="48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color w:val="000000"/>
          <w:sz w:val="24"/>
          <w:szCs w:val="24"/>
          <w:lang w:val="en-US" w:eastAsia="zh-CN"/>
        </w:rPr>
        <w:lastRenderedPageBreak/>
        <w:t>However, it is recommended for t</w:t>
      </w:r>
      <w:r w:rsidR="007C7432" w:rsidRPr="006B5C1E">
        <w:rPr>
          <w:rFonts w:ascii="Times New Roman" w:eastAsia="SimSun" w:hAnsi="Times New Roman" w:cs="Times New Roman"/>
          <w:color w:val="000000"/>
          <w:sz w:val="24"/>
          <w:szCs w:val="24"/>
          <w:lang w:val="en-US" w:eastAsia="zh-CN"/>
        </w:rPr>
        <w:t>he use of fit for purpose, tested, specific target oriented and safe technology</w:t>
      </w:r>
      <w:r w:rsidR="002315D8" w:rsidRPr="006B5C1E">
        <w:rPr>
          <w:rFonts w:ascii="Times New Roman" w:eastAsia="SimSun" w:hAnsi="Times New Roman" w:cs="Times New Roman"/>
          <w:color w:val="000000"/>
          <w:sz w:val="24"/>
          <w:szCs w:val="24"/>
          <w:lang w:val="en-US" w:eastAsia="zh-CN"/>
        </w:rPr>
        <w:t xml:space="preserve"> in the conduct of elections</w:t>
      </w:r>
      <w:r w:rsidR="007C7432" w:rsidRPr="006B5C1E">
        <w:rPr>
          <w:rFonts w:ascii="Times New Roman" w:eastAsia="SimSun" w:hAnsi="Times New Roman" w:cs="Times New Roman"/>
          <w:color w:val="000000"/>
          <w:sz w:val="24"/>
          <w:szCs w:val="24"/>
          <w:lang w:val="en-US" w:eastAsia="zh-CN"/>
        </w:rPr>
        <w:t xml:space="preserve"> </w:t>
      </w:r>
      <w:r w:rsidR="00882D64">
        <w:rPr>
          <w:rFonts w:ascii="Times New Roman" w:eastAsia="SimSun" w:hAnsi="Times New Roman" w:cs="Times New Roman"/>
          <w:color w:val="000000"/>
          <w:sz w:val="24"/>
          <w:szCs w:val="24"/>
          <w:lang w:val="en-US" w:eastAsia="zh-CN"/>
        </w:rPr>
        <w:t xml:space="preserve">as an </w:t>
      </w:r>
      <w:r w:rsidR="007C7432" w:rsidRPr="006B5C1E">
        <w:rPr>
          <w:rFonts w:ascii="Times New Roman" w:eastAsia="SimSun" w:hAnsi="Times New Roman" w:cs="Times New Roman"/>
          <w:color w:val="000000"/>
          <w:sz w:val="24"/>
          <w:szCs w:val="24"/>
          <w:lang w:val="en-US" w:eastAsia="zh-CN"/>
        </w:rPr>
        <w:t xml:space="preserve">indispensable </w:t>
      </w:r>
      <w:r w:rsidR="00882D64">
        <w:rPr>
          <w:rFonts w:ascii="Times New Roman" w:eastAsia="SimSun" w:hAnsi="Times New Roman" w:cs="Times New Roman"/>
          <w:color w:val="000000"/>
          <w:sz w:val="24"/>
          <w:szCs w:val="24"/>
          <w:lang w:val="en-US" w:eastAsia="zh-CN"/>
        </w:rPr>
        <w:t xml:space="preserve">measure </w:t>
      </w:r>
      <w:r w:rsidR="007C7432" w:rsidRPr="006B5C1E">
        <w:rPr>
          <w:rFonts w:ascii="Times New Roman" w:eastAsia="SimSun" w:hAnsi="Times New Roman" w:cs="Times New Roman"/>
          <w:color w:val="000000"/>
          <w:sz w:val="24"/>
          <w:szCs w:val="24"/>
          <w:lang w:val="en-US" w:eastAsia="zh-CN"/>
        </w:rPr>
        <w:t xml:space="preserve">to electoral credibility in Nigeria. In elections, like many aspects of human life, technology plays a vital role. INEC has through the use of technology made a reasonable improvement in carrying out its activities, which has in no </w:t>
      </w:r>
      <w:r w:rsidR="00B6515C" w:rsidRPr="006B5C1E">
        <w:rPr>
          <w:rFonts w:ascii="Times New Roman" w:eastAsia="SimSun" w:hAnsi="Times New Roman" w:cs="Times New Roman"/>
          <w:color w:val="000000"/>
          <w:sz w:val="24"/>
          <w:szCs w:val="24"/>
          <w:lang w:val="en-US" w:eastAsia="zh-CN"/>
        </w:rPr>
        <w:t xml:space="preserve">small measure </w:t>
      </w:r>
      <w:r w:rsidR="007C7432" w:rsidRPr="006B5C1E">
        <w:rPr>
          <w:rFonts w:ascii="Times New Roman" w:eastAsia="SimSun" w:hAnsi="Times New Roman" w:cs="Times New Roman"/>
          <w:color w:val="000000"/>
          <w:sz w:val="24"/>
          <w:szCs w:val="24"/>
          <w:lang w:val="en-US" w:eastAsia="zh-CN"/>
        </w:rPr>
        <w:t xml:space="preserve">enhanced its efficiency </w:t>
      </w:r>
      <w:r w:rsidR="00B84310" w:rsidRPr="006B5C1E">
        <w:rPr>
          <w:rFonts w:ascii="Times New Roman" w:eastAsia="SimSun" w:hAnsi="Times New Roman" w:cs="Times New Roman"/>
          <w:color w:val="000000"/>
          <w:sz w:val="24"/>
          <w:szCs w:val="24"/>
          <w:lang w:val="en-US" w:eastAsia="zh-CN"/>
        </w:rPr>
        <w:t>in the conduct of elections. For instance,</w:t>
      </w:r>
      <w:r w:rsidR="007C7432" w:rsidRPr="006B5C1E">
        <w:rPr>
          <w:rFonts w:ascii="Times New Roman" w:eastAsia="SimSun" w:hAnsi="Times New Roman" w:cs="Times New Roman"/>
          <w:color w:val="000000"/>
          <w:sz w:val="24"/>
          <w:szCs w:val="24"/>
          <w:lang w:val="en-US" w:eastAsia="zh-CN"/>
        </w:rPr>
        <w:t xml:space="preserve"> register of voters is fully biometric</w:t>
      </w:r>
      <w:r w:rsidR="00882D64">
        <w:rPr>
          <w:rFonts w:ascii="Times New Roman" w:eastAsia="SimSun" w:hAnsi="Times New Roman" w:cs="Times New Roman"/>
          <w:color w:val="000000"/>
          <w:sz w:val="24"/>
          <w:szCs w:val="24"/>
          <w:lang w:val="en-US" w:eastAsia="zh-CN"/>
        </w:rPr>
        <w:t>;</w:t>
      </w:r>
      <w:r w:rsidR="007C7432" w:rsidRPr="006B5C1E">
        <w:rPr>
          <w:rFonts w:ascii="Times New Roman" w:eastAsia="SimSun" w:hAnsi="Times New Roman" w:cs="Times New Roman"/>
          <w:color w:val="000000"/>
          <w:sz w:val="24"/>
          <w:szCs w:val="24"/>
          <w:lang w:val="en-US" w:eastAsia="zh-CN"/>
        </w:rPr>
        <w:t xml:space="preserve"> the accreditation of voters during elections is now electronic, although </w:t>
      </w:r>
      <w:r w:rsidR="00882D64">
        <w:rPr>
          <w:rFonts w:ascii="Times New Roman" w:eastAsia="SimSun" w:hAnsi="Times New Roman" w:cs="Times New Roman"/>
          <w:color w:val="000000"/>
          <w:sz w:val="24"/>
          <w:szCs w:val="24"/>
          <w:lang w:val="en-US" w:eastAsia="zh-CN"/>
        </w:rPr>
        <w:t xml:space="preserve">together </w:t>
      </w:r>
      <w:r w:rsidR="007C7432" w:rsidRPr="006B5C1E">
        <w:rPr>
          <w:rFonts w:ascii="Times New Roman" w:eastAsia="SimSun" w:hAnsi="Times New Roman" w:cs="Times New Roman"/>
          <w:color w:val="000000"/>
          <w:sz w:val="24"/>
          <w:szCs w:val="24"/>
          <w:lang w:val="en-US" w:eastAsia="zh-CN"/>
        </w:rPr>
        <w:t>with the manual method</w:t>
      </w:r>
      <w:r w:rsidR="00882D64">
        <w:rPr>
          <w:rFonts w:ascii="Times New Roman" w:eastAsia="SimSun" w:hAnsi="Times New Roman" w:cs="Times New Roman"/>
          <w:color w:val="000000"/>
          <w:sz w:val="24"/>
          <w:szCs w:val="24"/>
          <w:lang w:val="en-US" w:eastAsia="zh-CN"/>
        </w:rPr>
        <w:t>.</w:t>
      </w:r>
      <w:r w:rsidR="007C7432" w:rsidRPr="006B5C1E">
        <w:rPr>
          <w:rFonts w:ascii="Times New Roman" w:eastAsia="SimSun" w:hAnsi="Times New Roman" w:cs="Times New Roman"/>
          <w:color w:val="000000"/>
          <w:sz w:val="24"/>
          <w:szCs w:val="24"/>
          <w:lang w:val="en-US" w:eastAsia="zh-CN"/>
        </w:rPr>
        <w:t xml:space="preserve"> The nomination of candidates by political parties for elections, the accreditation of observers and the media are all done online.</w:t>
      </w:r>
      <w:r w:rsidR="00870F14" w:rsidRPr="006B5C1E">
        <w:rPr>
          <w:rFonts w:ascii="Times New Roman" w:eastAsia="SimSun" w:hAnsi="Times New Roman" w:cs="Times New Roman"/>
          <w:color w:val="000000"/>
          <w:sz w:val="24"/>
          <w:szCs w:val="24"/>
          <w:lang w:val="en-US" w:eastAsia="zh-CN"/>
        </w:rPr>
        <w:t xml:space="preserve"> </w:t>
      </w:r>
      <w:r w:rsidR="00882D64">
        <w:rPr>
          <w:rFonts w:ascii="Times New Roman" w:eastAsia="SimSun" w:hAnsi="Times New Roman" w:cs="Times New Roman"/>
          <w:color w:val="000000"/>
          <w:sz w:val="24"/>
          <w:szCs w:val="24"/>
          <w:lang w:val="en-US" w:eastAsia="zh-CN"/>
        </w:rPr>
        <w:t xml:space="preserve">Significantly, there is still </w:t>
      </w:r>
      <w:r w:rsidR="00AC0C18">
        <w:rPr>
          <w:rFonts w:ascii="Times New Roman" w:eastAsia="SimSun" w:hAnsi="Times New Roman" w:cs="Times New Roman"/>
          <w:color w:val="000000"/>
          <w:sz w:val="24"/>
          <w:szCs w:val="24"/>
          <w:lang w:val="en-US" w:eastAsia="zh-CN"/>
        </w:rPr>
        <w:t xml:space="preserve">prospect </w:t>
      </w:r>
      <w:r w:rsidR="00870F14" w:rsidRPr="006B5C1E">
        <w:rPr>
          <w:rFonts w:ascii="Times New Roman" w:eastAsia="SimSun" w:hAnsi="Times New Roman" w:cs="Times New Roman"/>
          <w:sz w:val="24"/>
          <w:szCs w:val="24"/>
          <w:lang w:val="en-US" w:eastAsia="zh-CN"/>
        </w:rPr>
        <w:t xml:space="preserve">for </w:t>
      </w:r>
      <w:r w:rsidR="00882D64">
        <w:rPr>
          <w:rFonts w:ascii="Times New Roman" w:eastAsia="SimSun" w:hAnsi="Times New Roman" w:cs="Times New Roman"/>
          <w:sz w:val="24"/>
          <w:szCs w:val="24"/>
          <w:lang w:val="en-US" w:eastAsia="zh-CN"/>
        </w:rPr>
        <w:t xml:space="preserve">the </w:t>
      </w:r>
      <w:r w:rsidR="00870F14" w:rsidRPr="006B5C1E">
        <w:rPr>
          <w:rFonts w:ascii="Times New Roman" w:eastAsia="SimSun" w:hAnsi="Times New Roman" w:cs="Times New Roman"/>
          <w:sz w:val="24"/>
          <w:szCs w:val="24"/>
          <w:lang w:val="en-US" w:eastAsia="zh-CN"/>
        </w:rPr>
        <w:t>improvement of the conduct of elections</w:t>
      </w:r>
      <w:r w:rsidR="00182941">
        <w:rPr>
          <w:rFonts w:ascii="Times New Roman" w:eastAsia="SimSun" w:hAnsi="Times New Roman" w:cs="Times New Roman"/>
          <w:sz w:val="24"/>
          <w:szCs w:val="24"/>
          <w:lang w:val="en-US" w:eastAsia="zh-CN"/>
        </w:rPr>
        <w:t xml:space="preserve">, which include the </w:t>
      </w:r>
      <w:r w:rsidR="00AC0C18" w:rsidRPr="00182941">
        <w:rPr>
          <w:rFonts w:ascii="Times New Roman" w:eastAsia="SimSun" w:hAnsi="Times New Roman" w:cs="Times New Roman"/>
          <w:sz w:val="24"/>
          <w:szCs w:val="24"/>
          <w:lang w:val="en-US" w:eastAsia="zh-CN"/>
        </w:rPr>
        <w:t xml:space="preserve">need for the </w:t>
      </w:r>
      <w:r w:rsidR="007C7432" w:rsidRPr="00182941">
        <w:rPr>
          <w:rFonts w:ascii="Times New Roman" w:eastAsia="SimSun" w:hAnsi="Times New Roman" w:cs="Times New Roman"/>
          <w:sz w:val="24"/>
          <w:szCs w:val="24"/>
          <w:lang w:val="en-US" w:eastAsia="zh-CN"/>
        </w:rPr>
        <w:t xml:space="preserve">Commission </w:t>
      </w:r>
      <w:r w:rsidR="00AC0C18" w:rsidRPr="00182941">
        <w:rPr>
          <w:rFonts w:ascii="Times New Roman" w:eastAsia="SimSun" w:hAnsi="Times New Roman" w:cs="Times New Roman"/>
          <w:sz w:val="24"/>
          <w:szCs w:val="24"/>
          <w:lang w:val="en-US" w:eastAsia="zh-CN"/>
        </w:rPr>
        <w:t xml:space="preserve">to </w:t>
      </w:r>
      <w:r w:rsidR="007C7432" w:rsidRPr="00182941">
        <w:rPr>
          <w:rFonts w:ascii="Times New Roman" w:eastAsia="SimSun" w:hAnsi="Times New Roman" w:cs="Times New Roman"/>
          <w:sz w:val="24"/>
          <w:szCs w:val="24"/>
          <w:lang w:val="en-US" w:eastAsia="zh-CN"/>
        </w:rPr>
        <w:t>urgently institute a robust legal framework that enables rather than inhibits electronic transmission of results specifically, and full electronic voting generally. In order to achieve this objective, three specific areas that an amendment is required in the Electoral Act are</w:t>
      </w:r>
      <w:r w:rsidR="00182941">
        <w:rPr>
          <w:rFonts w:ascii="Times New Roman" w:eastAsia="SimSun" w:hAnsi="Times New Roman" w:cs="Times New Roman"/>
          <w:sz w:val="24"/>
          <w:szCs w:val="24"/>
          <w:lang w:val="en-US" w:eastAsia="zh-CN"/>
        </w:rPr>
        <w:t>:</w:t>
      </w:r>
    </w:p>
    <w:p w:rsidR="00882D64" w:rsidRDefault="00882D64" w:rsidP="00882D64">
      <w:pPr>
        <w:spacing w:after="0" w:line="240" w:lineRule="auto"/>
        <w:ind w:left="720"/>
        <w:contextualSpacing/>
        <w:jc w:val="both"/>
        <w:rPr>
          <w:rFonts w:ascii="Times New Roman" w:eastAsia="SimSun" w:hAnsi="Times New Roman" w:cs="Times New Roman"/>
          <w:sz w:val="24"/>
          <w:szCs w:val="24"/>
          <w:lang w:val="en-US" w:eastAsia="zh-CN"/>
        </w:rPr>
      </w:pPr>
    </w:p>
    <w:p w:rsidR="00FB73E3" w:rsidRPr="00182941" w:rsidRDefault="007C7432" w:rsidP="00182941">
      <w:pPr>
        <w:pStyle w:val="ListParagraph"/>
        <w:numPr>
          <w:ilvl w:val="0"/>
          <w:numId w:val="28"/>
        </w:numPr>
        <w:spacing w:after="0" w:line="240" w:lineRule="auto"/>
        <w:jc w:val="both"/>
        <w:rPr>
          <w:rFonts w:ascii="Times New Roman" w:eastAsia="SimSun" w:hAnsi="Times New Roman" w:cs="Times New Roman"/>
          <w:sz w:val="24"/>
          <w:szCs w:val="24"/>
          <w:lang w:val="en-US" w:eastAsia="zh-CN"/>
        </w:rPr>
      </w:pPr>
      <w:r w:rsidRPr="00182941">
        <w:rPr>
          <w:rFonts w:ascii="Times New Roman" w:eastAsia="SimSun" w:hAnsi="Times New Roman" w:cs="Times New Roman"/>
          <w:sz w:val="24"/>
          <w:szCs w:val="24"/>
          <w:lang w:val="en-US" w:eastAsia="zh-CN"/>
        </w:rPr>
        <w:t xml:space="preserve">There should be robust provisions that enable the Commission to introduce relevant technologies at the right time. Consequently, provisions that refer to specific technologies, such as the Smart Card Reader, which could become obsolete, inapplicable or irrelevant in the </w:t>
      </w:r>
      <w:proofErr w:type="gramStart"/>
      <w:r w:rsidRPr="00182941">
        <w:rPr>
          <w:rFonts w:ascii="Times New Roman" w:eastAsia="SimSun" w:hAnsi="Times New Roman" w:cs="Times New Roman"/>
          <w:sz w:val="24"/>
          <w:szCs w:val="24"/>
          <w:lang w:val="en-US" w:eastAsia="zh-CN"/>
        </w:rPr>
        <w:t>future</w:t>
      </w:r>
      <w:proofErr w:type="gramEnd"/>
      <w:r w:rsidRPr="00182941">
        <w:rPr>
          <w:rFonts w:ascii="Times New Roman" w:eastAsia="SimSun" w:hAnsi="Times New Roman" w:cs="Times New Roman"/>
          <w:sz w:val="24"/>
          <w:szCs w:val="24"/>
          <w:lang w:val="en-US" w:eastAsia="zh-CN"/>
        </w:rPr>
        <w:t xml:space="preserve"> should be avoided.</w:t>
      </w:r>
    </w:p>
    <w:p w:rsidR="00182941" w:rsidRDefault="00182941" w:rsidP="00182941">
      <w:pPr>
        <w:spacing w:after="0" w:line="240" w:lineRule="auto"/>
        <w:jc w:val="both"/>
        <w:rPr>
          <w:rFonts w:ascii="Times New Roman" w:eastAsia="SimSun" w:hAnsi="Times New Roman" w:cs="Times New Roman"/>
          <w:sz w:val="24"/>
          <w:szCs w:val="24"/>
          <w:lang w:val="en-US" w:eastAsia="zh-CN"/>
        </w:rPr>
      </w:pPr>
    </w:p>
    <w:p w:rsidR="00182941" w:rsidRPr="00182941" w:rsidRDefault="00182941" w:rsidP="00182941">
      <w:pPr>
        <w:spacing w:after="0" w:line="24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     </w:t>
      </w:r>
      <w:r w:rsidRPr="00182941">
        <w:rPr>
          <w:rFonts w:ascii="Times New Roman" w:eastAsia="SimSun" w:hAnsi="Times New Roman" w:cs="Times New Roman"/>
          <w:sz w:val="24"/>
          <w:szCs w:val="24"/>
          <w:lang w:val="en-US" w:eastAsia="zh-CN"/>
        </w:rPr>
        <w:t xml:space="preserve">           II. </w:t>
      </w:r>
      <w:r>
        <w:rPr>
          <w:rFonts w:ascii="Times New Roman" w:eastAsia="SimSun" w:hAnsi="Times New Roman" w:cs="Times New Roman"/>
          <w:sz w:val="24"/>
          <w:szCs w:val="24"/>
          <w:lang w:val="en-US" w:eastAsia="zh-CN"/>
        </w:rPr>
        <w:t xml:space="preserve">  </w:t>
      </w:r>
      <w:r w:rsidR="007C7432" w:rsidRPr="00182941">
        <w:rPr>
          <w:rFonts w:ascii="Times New Roman" w:eastAsia="SimSun" w:hAnsi="Times New Roman" w:cs="Times New Roman"/>
          <w:sz w:val="24"/>
          <w:szCs w:val="24"/>
          <w:lang w:val="en-US" w:eastAsia="zh-CN"/>
        </w:rPr>
        <w:t>Sections of the Electoral Act that entrenches the manual processes</w:t>
      </w:r>
    </w:p>
    <w:p w:rsidR="00182941" w:rsidRDefault="00182941" w:rsidP="00182941">
      <w:pPr>
        <w:spacing w:after="0" w:line="24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                       </w:t>
      </w:r>
      <w:proofErr w:type="gramStart"/>
      <w:r>
        <w:rPr>
          <w:rFonts w:ascii="Times New Roman" w:eastAsia="SimSun" w:hAnsi="Times New Roman" w:cs="Times New Roman"/>
          <w:sz w:val="24"/>
          <w:szCs w:val="24"/>
          <w:lang w:val="en-US" w:eastAsia="zh-CN"/>
        </w:rPr>
        <w:t>s</w:t>
      </w:r>
      <w:r w:rsidR="007C7432" w:rsidRPr="007C7432">
        <w:rPr>
          <w:rFonts w:ascii="Times New Roman" w:eastAsia="SimSun" w:hAnsi="Times New Roman" w:cs="Times New Roman"/>
          <w:sz w:val="24"/>
          <w:szCs w:val="24"/>
          <w:lang w:val="en-US" w:eastAsia="zh-CN"/>
        </w:rPr>
        <w:t>hould</w:t>
      </w:r>
      <w:proofErr w:type="gramEnd"/>
      <w:r>
        <w:rPr>
          <w:rFonts w:ascii="Times New Roman" w:eastAsia="SimSun" w:hAnsi="Times New Roman" w:cs="Times New Roman"/>
          <w:sz w:val="24"/>
          <w:szCs w:val="24"/>
          <w:lang w:val="en-US" w:eastAsia="zh-CN"/>
        </w:rPr>
        <w:t xml:space="preserve"> </w:t>
      </w:r>
      <w:r w:rsidR="007C7432" w:rsidRPr="007C7432">
        <w:rPr>
          <w:rFonts w:ascii="Times New Roman" w:eastAsia="SimSun" w:hAnsi="Times New Roman" w:cs="Times New Roman"/>
          <w:sz w:val="24"/>
          <w:szCs w:val="24"/>
          <w:lang w:val="en-US" w:eastAsia="zh-CN"/>
        </w:rPr>
        <w:t>be amended to make both manual and electronic methods</w:t>
      </w:r>
    </w:p>
    <w:p w:rsidR="00FB73E3" w:rsidRDefault="00182941" w:rsidP="00182941">
      <w:pPr>
        <w:spacing w:after="0" w:line="240" w:lineRule="auto"/>
        <w:jc w:val="both"/>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 xml:space="preserve">                       </w:t>
      </w:r>
      <w:proofErr w:type="gramStart"/>
      <w:r w:rsidR="007C7432" w:rsidRPr="007C7432">
        <w:rPr>
          <w:rFonts w:ascii="Times New Roman" w:eastAsia="SimSun" w:hAnsi="Times New Roman" w:cs="Times New Roman"/>
          <w:sz w:val="24"/>
          <w:szCs w:val="24"/>
          <w:lang w:val="en-US" w:eastAsia="zh-CN"/>
        </w:rPr>
        <w:t>legitimate</w:t>
      </w:r>
      <w:proofErr w:type="gramEnd"/>
      <w:r w:rsidR="007C7432" w:rsidRPr="007C7432">
        <w:rPr>
          <w:rFonts w:ascii="Times New Roman" w:eastAsia="SimSun" w:hAnsi="Times New Roman" w:cs="Times New Roman"/>
          <w:sz w:val="24"/>
          <w:szCs w:val="24"/>
          <w:lang w:val="en-US" w:eastAsia="zh-CN"/>
        </w:rPr>
        <w:t xml:space="preserve"> and</w:t>
      </w:r>
      <w:r>
        <w:rPr>
          <w:rFonts w:ascii="Times New Roman" w:eastAsia="SimSun" w:hAnsi="Times New Roman" w:cs="Times New Roman"/>
          <w:sz w:val="24"/>
          <w:szCs w:val="24"/>
          <w:lang w:val="en-US" w:eastAsia="zh-CN"/>
        </w:rPr>
        <w:t xml:space="preserve"> </w:t>
      </w:r>
      <w:r w:rsidR="007C7432" w:rsidRPr="007C7432">
        <w:rPr>
          <w:rFonts w:ascii="Times New Roman" w:eastAsia="SimSun" w:hAnsi="Times New Roman" w:cs="Times New Roman"/>
          <w:sz w:val="24"/>
          <w:szCs w:val="24"/>
          <w:lang w:val="en-US" w:eastAsia="zh-CN"/>
        </w:rPr>
        <w:t>discretionary for the Commission.</w:t>
      </w:r>
    </w:p>
    <w:p w:rsidR="00182941" w:rsidRDefault="00182941" w:rsidP="00182941">
      <w:pPr>
        <w:spacing w:after="0" w:line="240" w:lineRule="auto"/>
        <w:jc w:val="both"/>
        <w:rPr>
          <w:rFonts w:ascii="Times New Roman" w:eastAsia="SimSun" w:hAnsi="Times New Roman" w:cs="Times New Roman"/>
          <w:sz w:val="24"/>
          <w:szCs w:val="24"/>
          <w:lang w:val="en-US" w:eastAsia="zh-CN"/>
        </w:rPr>
      </w:pPr>
    </w:p>
    <w:p w:rsidR="00AC0C18" w:rsidRDefault="00AC0C18" w:rsidP="00AC0C18">
      <w:pPr>
        <w:spacing w:after="0" w:line="240" w:lineRule="auto"/>
        <w:ind w:left="720"/>
        <w:jc w:val="both"/>
        <w:rPr>
          <w:rFonts w:ascii="Times New Roman" w:eastAsia="SimSun" w:hAnsi="Times New Roman" w:cs="Times New Roman"/>
          <w:sz w:val="24"/>
          <w:szCs w:val="24"/>
          <w:lang w:val="en-US" w:eastAsia="zh-CN"/>
        </w:rPr>
      </w:pPr>
    </w:p>
    <w:p w:rsidR="007C7432" w:rsidRPr="00182941" w:rsidRDefault="007C7432" w:rsidP="00182941">
      <w:pPr>
        <w:pStyle w:val="ListParagraph"/>
        <w:numPr>
          <w:ilvl w:val="0"/>
          <w:numId w:val="24"/>
        </w:numPr>
        <w:spacing w:after="0" w:line="240" w:lineRule="auto"/>
        <w:jc w:val="both"/>
        <w:rPr>
          <w:rFonts w:ascii="Times New Roman" w:eastAsia="SimSun" w:hAnsi="Times New Roman" w:cs="Times New Roman"/>
          <w:sz w:val="24"/>
          <w:szCs w:val="24"/>
          <w:lang w:val="en-US" w:eastAsia="zh-CN"/>
        </w:rPr>
      </w:pPr>
      <w:r w:rsidRPr="00182941">
        <w:rPr>
          <w:rFonts w:ascii="Times New Roman" w:eastAsia="SimSun" w:hAnsi="Times New Roman" w:cs="Times New Roman"/>
          <w:sz w:val="24"/>
          <w:szCs w:val="24"/>
          <w:lang w:val="en-US" w:eastAsia="zh-CN"/>
        </w:rPr>
        <w:t xml:space="preserve">The Electoral Act should make electronic verification of voters (accreditation) based on biometric features the basis for allowing voters to cast their </w:t>
      </w:r>
      <w:r w:rsidR="00AC0C18" w:rsidRPr="00182941">
        <w:rPr>
          <w:rFonts w:ascii="Times New Roman" w:eastAsia="SimSun" w:hAnsi="Times New Roman" w:cs="Times New Roman"/>
          <w:sz w:val="24"/>
          <w:szCs w:val="24"/>
          <w:lang w:val="en-US" w:eastAsia="zh-CN"/>
        </w:rPr>
        <w:t>votes</w:t>
      </w:r>
      <w:r w:rsidRPr="00182941">
        <w:rPr>
          <w:rFonts w:ascii="Times New Roman" w:eastAsia="SimSun" w:hAnsi="Times New Roman" w:cs="Times New Roman"/>
          <w:sz w:val="24"/>
          <w:szCs w:val="24"/>
          <w:lang w:val="en-US" w:eastAsia="zh-CN"/>
        </w:rPr>
        <w:t>. The current situation whereby manual accreditation takes precedence over biometric accre</w:t>
      </w:r>
      <w:r w:rsidR="00AC0C18" w:rsidRPr="00182941">
        <w:rPr>
          <w:rFonts w:ascii="Times New Roman" w:eastAsia="SimSun" w:hAnsi="Times New Roman" w:cs="Times New Roman"/>
          <w:sz w:val="24"/>
          <w:szCs w:val="24"/>
          <w:lang w:val="en-US" w:eastAsia="zh-CN"/>
        </w:rPr>
        <w:t>ditation via electronic means</w:t>
      </w:r>
      <w:r w:rsidRPr="00182941">
        <w:rPr>
          <w:rFonts w:ascii="Times New Roman" w:eastAsia="SimSun" w:hAnsi="Times New Roman" w:cs="Times New Roman"/>
          <w:sz w:val="24"/>
          <w:szCs w:val="24"/>
          <w:lang w:val="en-US" w:eastAsia="zh-CN"/>
        </w:rPr>
        <w:t xml:space="preserve"> undermines the full benefits of the application of technology to elections.</w:t>
      </w:r>
    </w:p>
    <w:p w:rsidR="00AC0C18" w:rsidRPr="00AC0C18" w:rsidRDefault="00AC0C18" w:rsidP="00AC0C18">
      <w:pPr>
        <w:pStyle w:val="ListParagraph"/>
        <w:spacing w:after="0" w:line="240" w:lineRule="auto"/>
        <w:ind w:left="1440"/>
        <w:jc w:val="both"/>
        <w:rPr>
          <w:rFonts w:ascii="Times New Roman" w:eastAsia="SimSun" w:hAnsi="Times New Roman" w:cs="Times New Roman"/>
          <w:sz w:val="24"/>
          <w:szCs w:val="24"/>
          <w:lang w:val="en-US" w:eastAsia="zh-CN"/>
        </w:rPr>
      </w:pPr>
    </w:p>
    <w:p w:rsidR="007C7432" w:rsidRDefault="007C7432" w:rsidP="00AC0C18">
      <w:pPr>
        <w:pStyle w:val="ListParagraph"/>
        <w:numPr>
          <w:ilvl w:val="0"/>
          <w:numId w:val="24"/>
        </w:numPr>
        <w:spacing w:after="0" w:line="240" w:lineRule="auto"/>
        <w:jc w:val="both"/>
        <w:rPr>
          <w:rFonts w:ascii="Times New Roman" w:eastAsia="SimSun" w:hAnsi="Times New Roman" w:cs="Times New Roman"/>
          <w:sz w:val="24"/>
          <w:szCs w:val="24"/>
          <w:lang w:val="en-US" w:eastAsia="zh-CN"/>
        </w:rPr>
      </w:pPr>
      <w:r w:rsidRPr="00AC0C18">
        <w:rPr>
          <w:rFonts w:ascii="Times New Roman" w:eastAsia="SimSun" w:hAnsi="Times New Roman" w:cs="Times New Roman"/>
          <w:sz w:val="24"/>
          <w:szCs w:val="24"/>
          <w:lang w:val="en-US" w:eastAsia="zh-CN"/>
        </w:rPr>
        <w:t xml:space="preserve">Public trust is essential for any successful deployment of electoral technologies. The confidence of citizens and election stakeholders in the electronic devices deployed by INEC like the BVAS and the </w:t>
      </w:r>
      <w:proofErr w:type="spellStart"/>
      <w:r w:rsidRPr="00AC0C18">
        <w:rPr>
          <w:rFonts w:ascii="Times New Roman" w:eastAsia="SimSun" w:hAnsi="Times New Roman" w:cs="Times New Roman"/>
          <w:sz w:val="24"/>
          <w:szCs w:val="24"/>
          <w:lang w:val="en-US" w:eastAsia="zh-CN"/>
        </w:rPr>
        <w:t>IReV</w:t>
      </w:r>
      <w:proofErr w:type="spellEnd"/>
      <w:r w:rsidRPr="00AC0C18">
        <w:rPr>
          <w:rFonts w:ascii="Times New Roman" w:eastAsia="SimSun" w:hAnsi="Times New Roman" w:cs="Times New Roman"/>
          <w:sz w:val="24"/>
          <w:szCs w:val="24"/>
          <w:lang w:val="en-US" w:eastAsia="zh-CN"/>
        </w:rPr>
        <w:t xml:space="preserve"> </w:t>
      </w:r>
      <w:r w:rsidRPr="00AC0C18">
        <w:rPr>
          <w:rFonts w:ascii="Times New Roman" w:eastAsia="SimSun" w:hAnsi="Times New Roman" w:cs="Times New Roman"/>
          <w:sz w:val="24"/>
          <w:szCs w:val="24"/>
          <w:lang w:val="en-US" w:eastAsia="zh-CN"/>
        </w:rPr>
        <w:lastRenderedPageBreak/>
        <w:t>web portal influences voter participation in elections as well as the acceptability of electoral outcomes.</w:t>
      </w:r>
    </w:p>
    <w:p w:rsidR="00AC0C18" w:rsidRPr="00AC0C18" w:rsidRDefault="00AC0C18" w:rsidP="00AC0C18">
      <w:pPr>
        <w:pStyle w:val="ListParagraph"/>
        <w:rPr>
          <w:rFonts w:ascii="Times New Roman" w:eastAsia="SimSun" w:hAnsi="Times New Roman" w:cs="Times New Roman"/>
          <w:sz w:val="24"/>
          <w:szCs w:val="24"/>
          <w:lang w:val="en-US" w:eastAsia="zh-CN"/>
        </w:rPr>
      </w:pPr>
    </w:p>
    <w:p w:rsidR="007C7432" w:rsidRDefault="007C7432" w:rsidP="00AC0C18">
      <w:pPr>
        <w:numPr>
          <w:ilvl w:val="0"/>
          <w:numId w:val="24"/>
        </w:numPr>
        <w:spacing w:after="0" w:line="240" w:lineRule="auto"/>
        <w:contextualSpacing/>
        <w:jc w:val="both"/>
        <w:rPr>
          <w:rFonts w:ascii="Times New Roman" w:eastAsia="SimSun" w:hAnsi="Times New Roman" w:cs="Times New Roman"/>
          <w:sz w:val="24"/>
          <w:szCs w:val="24"/>
          <w:lang w:val="en-US" w:eastAsia="zh-CN"/>
        </w:rPr>
      </w:pPr>
      <w:r w:rsidRPr="007C7432">
        <w:rPr>
          <w:rFonts w:ascii="Times New Roman" w:eastAsia="SimSun" w:hAnsi="Times New Roman" w:cs="Times New Roman"/>
          <w:sz w:val="24"/>
          <w:szCs w:val="24"/>
          <w:lang w:val="en-US" w:eastAsia="zh-CN"/>
        </w:rPr>
        <w:t xml:space="preserve">The aggregation, analysis, visualization and broadcast of real-time election results counter fake news and disinformation during and after elections. It is important for critical stakeholders to establish a single </w:t>
      </w:r>
      <w:bookmarkStart w:id="0" w:name="_GoBack"/>
      <w:bookmarkEnd w:id="0"/>
      <w:r w:rsidRPr="007C7432">
        <w:rPr>
          <w:rFonts w:ascii="Times New Roman" w:eastAsia="SimSun" w:hAnsi="Times New Roman" w:cs="Times New Roman"/>
          <w:sz w:val="24"/>
          <w:szCs w:val="24"/>
          <w:lang w:val="en-US" w:eastAsia="zh-CN"/>
        </w:rPr>
        <w:t>source of truth for election results in the 2023 elections.</w:t>
      </w:r>
    </w:p>
    <w:sectPr w:rsidR="007C7432" w:rsidSect="00C25F7A">
      <w:headerReference w:type="default" r:id="rId9"/>
      <w:footerReference w:type="default" r:id="rId10"/>
      <w:pgSz w:w="11906" w:h="16838"/>
      <w:pgMar w:top="1152" w:right="1440" w:bottom="1152" w:left="2160" w:header="720" w:footer="720" w:gutter="0"/>
      <w:pgNumType w:start="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14E" w:rsidRDefault="004D614E" w:rsidP="00153F7E">
      <w:pPr>
        <w:spacing w:after="0" w:line="240" w:lineRule="auto"/>
      </w:pPr>
      <w:r>
        <w:separator/>
      </w:r>
    </w:p>
  </w:endnote>
  <w:endnote w:type="continuationSeparator" w:id="0">
    <w:p w:rsidR="004D614E" w:rsidRDefault="004D614E" w:rsidP="0015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247203"/>
      <w:docPartObj>
        <w:docPartGallery w:val="Page Numbers (Bottom of Page)"/>
        <w:docPartUnique/>
      </w:docPartObj>
    </w:sdtPr>
    <w:sdtEndPr>
      <w:rPr>
        <w:noProof/>
      </w:rPr>
    </w:sdtEndPr>
    <w:sdtContent>
      <w:p w:rsidR="00591610" w:rsidRDefault="00591610">
        <w:pPr>
          <w:pStyle w:val="Footer"/>
          <w:jc w:val="center"/>
        </w:pPr>
        <w:r>
          <w:fldChar w:fldCharType="begin"/>
        </w:r>
        <w:r>
          <w:instrText xml:space="preserve"> PAGE   \* MERGEFORMAT </w:instrText>
        </w:r>
        <w:r>
          <w:fldChar w:fldCharType="separate"/>
        </w:r>
        <w:r w:rsidR="003739FB">
          <w:rPr>
            <w:noProof/>
          </w:rPr>
          <w:t>112</w:t>
        </w:r>
        <w:r>
          <w:rPr>
            <w:noProof/>
          </w:rPr>
          <w:fldChar w:fldCharType="end"/>
        </w:r>
      </w:p>
    </w:sdtContent>
  </w:sdt>
  <w:p w:rsidR="00591610" w:rsidRDefault="00591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14E" w:rsidRDefault="004D614E" w:rsidP="00153F7E">
      <w:pPr>
        <w:spacing w:after="0" w:line="240" w:lineRule="auto"/>
      </w:pPr>
      <w:r>
        <w:separator/>
      </w:r>
    </w:p>
  </w:footnote>
  <w:footnote w:type="continuationSeparator" w:id="0">
    <w:p w:rsidR="004D614E" w:rsidRDefault="004D614E" w:rsidP="00153F7E">
      <w:pPr>
        <w:spacing w:after="0" w:line="240" w:lineRule="auto"/>
      </w:pPr>
      <w:r>
        <w:continuationSeparator/>
      </w:r>
    </w:p>
  </w:footnote>
  <w:footnote w:id="1">
    <w:p w:rsidR="006932C6" w:rsidRPr="006932C6" w:rsidRDefault="006932C6" w:rsidP="00BE3A89">
      <w:pPr>
        <w:pStyle w:val="Title"/>
        <w:jc w:val="left"/>
        <w:rPr>
          <w:b w:val="0"/>
          <w:sz w:val="20"/>
        </w:rPr>
      </w:pPr>
      <w:r w:rsidRPr="006932C6">
        <w:rPr>
          <w:rStyle w:val="FootnoteReference"/>
          <w:sz w:val="20"/>
        </w:rPr>
        <w:footnoteRef/>
      </w:r>
      <w:r w:rsidRPr="006932C6">
        <w:rPr>
          <w:sz w:val="20"/>
        </w:rPr>
        <w:t xml:space="preserve"> </w:t>
      </w:r>
      <w:r w:rsidRPr="006932C6">
        <w:rPr>
          <w:b w:val="0"/>
          <w:sz w:val="20"/>
        </w:rPr>
        <w:t xml:space="preserve">A K Anya, </w:t>
      </w:r>
      <w:proofErr w:type="gramStart"/>
      <w:r w:rsidRPr="006932C6">
        <w:rPr>
          <w:b w:val="0"/>
          <w:sz w:val="20"/>
        </w:rPr>
        <w:t>The</w:t>
      </w:r>
      <w:proofErr w:type="gramEnd"/>
      <w:r w:rsidRPr="006932C6">
        <w:rPr>
          <w:b w:val="0"/>
          <w:sz w:val="20"/>
        </w:rPr>
        <w:t xml:space="preserve"> Role of Courts in Application and Enforcement of Law in Nigeria,</w:t>
      </w:r>
    </w:p>
    <w:p w:rsidR="006932C6" w:rsidRPr="00BE3A89" w:rsidRDefault="006932C6" w:rsidP="00BE3A89">
      <w:pPr>
        <w:spacing w:after="0"/>
        <w:rPr>
          <w:rFonts w:ascii="Times New Roman" w:eastAsia="Calibri" w:hAnsi="Times New Roman" w:cs="Times New Roman"/>
          <w:sz w:val="20"/>
          <w:szCs w:val="20"/>
        </w:rPr>
      </w:pPr>
      <w:r w:rsidRPr="006932C6">
        <w:rPr>
          <w:rFonts w:ascii="Times New Roman" w:eastAsia="Calibri" w:hAnsi="Times New Roman" w:cs="Times New Roman"/>
          <w:sz w:val="20"/>
          <w:szCs w:val="20"/>
        </w:rPr>
        <w:t>Vol. 9 (No. 1) (2017) Port Harcourt Law Journal</w:t>
      </w:r>
      <w:r w:rsidR="00BE3A89">
        <w:rPr>
          <w:rFonts w:ascii="Times New Roman" w:eastAsia="Calibri" w:hAnsi="Times New Roman" w:cs="Times New Roman"/>
          <w:sz w:val="20"/>
          <w:szCs w:val="20"/>
        </w:rPr>
        <w:t>; ResearchGate.com/</w:t>
      </w:r>
      <w:proofErr w:type="spellStart"/>
      <w:r w:rsidR="00BE3A89">
        <w:rPr>
          <w:rFonts w:ascii="Times New Roman" w:eastAsia="Calibri" w:hAnsi="Times New Roman" w:cs="Times New Roman"/>
          <w:sz w:val="20"/>
          <w:szCs w:val="20"/>
        </w:rPr>
        <w:t>anyakingsleyanya</w:t>
      </w:r>
      <w:proofErr w:type="spellEnd"/>
      <w:r w:rsidR="00BE3A89">
        <w:rPr>
          <w:rFonts w:ascii="Times New Roman" w:eastAsia="Calibri" w:hAnsi="Times New Roman" w:cs="Times New Roman"/>
          <w:sz w:val="20"/>
          <w:szCs w:val="20"/>
        </w:rPr>
        <w:t xml:space="preserve">   </w:t>
      </w:r>
    </w:p>
  </w:footnote>
  <w:footnote w:id="2">
    <w:p w:rsidR="00063BF1" w:rsidRDefault="00063BF1" w:rsidP="00BE3A89">
      <w:pPr>
        <w:pStyle w:val="FootnoteText"/>
      </w:pPr>
      <w:r>
        <w:rPr>
          <w:rStyle w:val="FootnoteReference"/>
        </w:rPr>
        <w:footnoteRef/>
      </w:r>
      <w:r>
        <w:t xml:space="preserve"> Ibid, at P. 2</w:t>
      </w:r>
    </w:p>
  </w:footnote>
  <w:footnote w:id="3">
    <w:p w:rsidR="00063BF1" w:rsidRDefault="00063BF1">
      <w:pPr>
        <w:pStyle w:val="FootnoteText"/>
      </w:pPr>
      <w:r>
        <w:rPr>
          <w:rStyle w:val="FootnoteReference"/>
        </w:rPr>
        <w:footnoteRef/>
      </w:r>
      <w:r>
        <w:t xml:space="preserve"> Ibid, at P. 3</w:t>
      </w:r>
    </w:p>
  </w:footnote>
  <w:footnote w:id="4">
    <w:p w:rsidR="005E76E4" w:rsidRDefault="005E76E4">
      <w:pPr>
        <w:pStyle w:val="FootnoteText"/>
      </w:pPr>
      <w:r>
        <w:rPr>
          <w:rStyle w:val="FootnoteReference"/>
        </w:rPr>
        <w:footnoteRef/>
      </w:r>
      <w:r>
        <w:t xml:space="preserve"> [Hereafter, The INEC]</w:t>
      </w:r>
    </w:p>
  </w:footnote>
  <w:footnote w:id="5">
    <w:p w:rsidR="00153F7E" w:rsidRDefault="00153F7E" w:rsidP="00153F7E">
      <w:pPr>
        <w:pStyle w:val="FootnoteText"/>
      </w:pPr>
      <w:r>
        <w:rPr>
          <w:rStyle w:val="FootnoteReference"/>
        </w:rPr>
        <w:footnoteRef/>
      </w:r>
      <w:r>
        <w:t xml:space="preserve"> </w:t>
      </w:r>
      <w:r w:rsidRPr="00AA1AF7">
        <w:t>2010 (as amended)</w:t>
      </w:r>
    </w:p>
  </w:footnote>
  <w:footnote w:id="6">
    <w:p w:rsidR="00153F7E" w:rsidRPr="00B815C2" w:rsidRDefault="00153F7E" w:rsidP="00153F7E">
      <w:pPr>
        <w:pStyle w:val="FootnoteText"/>
        <w:rPr>
          <w:rFonts w:ascii="Times New Roman" w:hAnsi="Times New Roman"/>
        </w:rPr>
      </w:pPr>
      <w:r w:rsidRPr="00B815C2">
        <w:rPr>
          <w:rStyle w:val="FootnoteReference"/>
          <w:rFonts w:ascii="Times New Roman" w:hAnsi="Times New Roman"/>
        </w:rPr>
        <w:footnoteRef/>
      </w:r>
      <w:r w:rsidRPr="00B815C2">
        <w:rPr>
          <w:rFonts w:ascii="Times New Roman" w:hAnsi="Times New Roman"/>
        </w:rPr>
        <w:t>Available online at www.inecnigeria.org/wp-content/uploads/2015/01/FINAL</w:t>
      </w:r>
    </w:p>
  </w:footnote>
  <w:footnote w:id="7">
    <w:p w:rsidR="00153F7E" w:rsidRPr="00F86BC9" w:rsidRDefault="00153F7E" w:rsidP="00153F7E">
      <w:pPr>
        <w:pStyle w:val="FootnoteText"/>
      </w:pPr>
      <w:r w:rsidRPr="00B815C2">
        <w:rPr>
          <w:rStyle w:val="FootnoteReference"/>
          <w:rFonts w:ascii="Times New Roman" w:hAnsi="Times New Roman"/>
        </w:rPr>
        <w:footnoteRef/>
      </w:r>
      <w:r w:rsidRPr="00B815C2">
        <w:rPr>
          <w:rFonts w:ascii="Times New Roman" w:hAnsi="Times New Roman"/>
        </w:rPr>
        <w:t>(2010) All FWLR (</w:t>
      </w:r>
      <w:r w:rsidR="00B11B8C">
        <w:rPr>
          <w:rFonts w:ascii="Times New Roman" w:hAnsi="Times New Roman"/>
        </w:rPr>
        <w:t>P</w:t>
      </w:r>
      <w:r w:rsidRPr="00B815C2">
        <w:rPr>
          <w:rFonts w:ascii="Times New Roman" w:hAnsi="Times New Roman"/>
        </w:rPr>
        <w:t>t. 524) p. 117 at 136-137.</w:t>
      </w:r>
    </w:p>
  </w:footnote>
  <w:footnote w:id="8">
    <w:p w:rsidR="00153F7E" w:rsidRDefault="00153F7E" w:rsidP="00153F7E">
      <w:pPr>
        <w:pStyle w:val="FootnoteText"/>
      </w:pPr>
      <w:r>
        <w:rPr>
          <w:rStyle w:val="FootnoteReference"/>
        </w:rPr>
        <w:footnoteRef/>
      </w:r>
      <w:r>
        <w:t xml:space="preserve"> 2006</w:t>
      </w:r>
    </w:p>
  </w:footnote>
  <w:footnote w:id="9">
    <w:p w:rsidR="00153F7E" w:rsidRDefault="00153F7E" w:rsidP="00153F7E">
      <w:pPr>
        <w:pStyle w:val="FootnoteText"/>
      </w:pPr>
      <w:r>
        <w:rPr>
          <w:rStyle w:val="FootnoteReference"/>
        </w:rPr>
        <w:footnoteRef/>
      </w:r>
      <w:r>
        <w:t xml:space="preserve"> 2010 (as amended)</w:t>
      </w:r>
    </w:p>
  </w:footnote>
  <w:footnote w:id="10">
    <w:p w:rsidR="00856B4A" w:rsidRPr="00856B4A" w:rsidRDefault="00856B4A">
      <w:pPr>
        <w:pStyle w:val="FootnoteText"/>
        <w:rPr>
          <w:lang w:val="en-GB"/>
        </w:rPr>
      </w:pPr>
      <w:r>
        <w:rPr>
          <w:rStyle w:val="FootnoteReference"/>
        </w:rPr>
        <w:footnoteRef/>
      </w:r>
      <w:r>
        <w:t xml:space="preserve"> </w:t>
      </w:r>
      <w:r w:rsidRPr="00856B4A">
        <w:t>INEC Regulations and Guidelines for the Conduct of Elections 2019</w:t>
      </w:r>
    </w:p>
  </w:footnote>
  <w:footnote w:id="11">
    <w:p w:rsidR="00153F7E" w:rsidRDefault="00153F7E" w:rsidP="00153F7E">
      <w:pPr>
        <w:pStyle w:val="FootnoteText"/>
      </w:pPr>
      <w:r>
        <w:rPr>
          <w:rStyle w:val="FootnoteReference"/>
        </w:rPr>
        <w:footnoteRef/>
      </w:r>
      <w:r>
        <w:t xml:space="preserve"> Ibid.</w:t>
      </w:r>
    </w:p>
  </w:footnote>
  <w:footnote w:id="12">
    <w:p w:rsidR="00153F7E" w:rsidRDefault="00153F7E" w:rsidP="00153F7E">
      <w:pPr>
        <w:pStyle w:val="FootnoteText"/>
      </w:pPr>
      <w:r>
        <w:rPr>
          <w:rStyle w:val="FootnoteReference"/>
        </w:rPr>
        <w:footnoteRef/>
      </w:r>
      <w:r>
        <w:t xml:space="preserve"> Ibid.</w:t>
      </w:r>
    </w:p>
  </w:footnote>
  <w:footnote w:id="13">
    <w:p w:rsidR="00912BE1" w:rsidRPr="00912BE1" w:rsidRDefault="00912BE1">
      <w:pPr>
        <w:pStyle w:val="FootnoteText"/>
      </w:pPr>
      <w:r w:rsidRPr="00912BE1">
        <w:rPr>
          <w:rStyle w:val="FootnoteReference"/>
        </w:rPr>
        <w:footnoteRef/>
      </w:r>
      <w:r w:rsidRPr="00912BE1">
        <w:t xml:space="preserve"> </w:t>
      </w:r>
      <w:r w:rsidRPr="00912BE1">
        <w:rPr>
          <w:rFonts w:ascii="Times New Roman" w:hAnsi="Times New Roman"/>
        </w:rPr>
        <w:t>Section 153 of the Electoral Act</w:t>
      </w:r>
    </w:p>
  </w:footnote>
  <w:footnote w:id="14">
    <w:p w:rsidR="00912BE1" w:rsidRDefault="00912BE1">
      <w:pPr>
        <w:pStyle w:val="FootnoteText"/>
      </w:pPr>
      <w:r>
        <w:rPr>
          <w:rStyle w:val="FootnoteReference"/>
        </w:rPr>
        <w:footnoteRef/>
      </w:r>
      <w:r>
        <w:t xml:space="preserve"> [Hereafter, The SCR]</w:t>
      </w:r>
    </w:p>
  </w:footnote>
  <w:footnote w:id="15">
    <w:p w:rsidR="00C17A64" w:rsidRDefault="00C17A64">
      <w:pPr>
        <w:pStyle w:val="FootnoteText"/>
      </w:pPr>
      <w:r>
        <w:rPr>
          <w:rStyle w:val="FootnoteReference"/>
        </w:rPr>
        <w:footnoteRef/>
      </w:r>
      <w:r>
        <w:t xml:space="preserve"> </w:t>
      </w:r>
      <w:proofErr w:type="spellStart"/>
      <w:proofErr w:type="gramStart"/>
      <w:r w:rsidR="00D3072B">
        <w:t>Oyetola</w:t>
      </w:r>
      <w:proofErr w:type="spellEnd"/>
      <w:r w:rsidR="00D3072B">
        <w:t xml:space="preserve"> &amp; </w:t>
      </w:r>
      <w:proofErr w:type="spellStart"/>
      <w:r w:rsidR="00D3072B">
        <w:t>anor</w:t>
      </w:r>
      <w:proofErr w:type="spellEnd"/>
      <w:r w:rsidR="00D3072B">
        <w:t>.</w:t>
      </w:r>
      <w:proofErr w:type="gramEnd"/>
      <w:r w:rsidR="001D6DEE">
        <w:t xml:space="preserve"> </w:t>
      </w:r>
      <w:proofErr w:type="gramStart"/>
      <w:r w:rsidR="001D6DEE">
        <w:t>v</w:t>
      </w:r>
      <w:proofErr w:type="gramEnd"/>
      <w:r w:rsidR="001D6DEE">
        <w:t xml:space="preserve"> INEC &amp; </w:t>
      </w:r>
      <w:proofErr w:type="spellStart"/>
      <w:r w:rsidR="001D6DEE">
        <w:t>O</w:t>
      </w:r>
      <w:r w:rsidR="00D3072B">
        <w:t>rs</w:t>
      </w:r>
      <w:proofErr w:type="spellEnd"/>
      <w:r w:rsidR="00D3072B">
        <w:t xml:space="preserve">. </w:t>
      </w:r>
      <w:proofErr w:type="gramStart"/>
      <w:r>
        <w:t>(20</w:t>
      </w:r>
      <w:r w:rsidR="00D3072B">
        <w:t>23</w:t>
      </w:r>
      <w:r>
        <w:t xml:space="preserve">) LPELR </w:t>
      </w:r>
      <w:r w:rsidR="00D3072B">
        <w:t xml:space="preserve">60392 </w:t>
      </w:r>
      <w:r>
        <w:t>(</w:t>
      </w:r>
      <w:r w:rsidR="00D3072B">
        <w:t>SC</w:t>
      </w:r>
      <w:r>
        <w:t>)</w:t>
      </w:r>
      <w:r w:rsidR="00B11B8C" w:rsidRPr="002B6E3B">
        <w:rPr>
          <w:rFonts w:ascii="Times New Roman" w:hAnsi="Times New Roman"/>
          <w:b/>
          <w:i/>
          <w:sz w:val="24"/>
          <w:szCs w:val="24"/>
        </w:rPr>
        <w:t xml:space="preserve"> </w:t>
      </w:r>
      <w:r w:rsidR="00EE0D29">
        <w:rPr>
          <w:rFonts w:ascii="Times New Roman" w:hAnsi="Times New Roman"/>
        </w:rPr>
        <w:t>P</w:t>
      </w:r>
      <w:r w:rsidR="00D3072B">
        <w:rPr>
          <w:rFonts w:ascii="Times New Roman" w:hAnsi="Times New Roman"/>
        </w:rPr>
        <w:t>p</w:t>
      </w:r>
      <w:r w:rsidR="00EE0D29">
        <w:rPr>
          <w:rFonts w:ascii="Times New Roman" w:hAnsi="Times New Roman"/>
        </w:rPr>
        <w:t>.</w:t>
      </w:r>
      <w:r w:rsidR="00B11B8C" w:rsidRPr="00B11B8C">
        <w:rPr>
          <w:rFonts w:ascii="Times New Roman" w:hAnsi="Times New Roman"/>
        </w:rPr>
        <w:t xml:space="preserve"> </w:t>
      </w:r>
      <w:r w:rsidR="00D3072B">
        <w:rPr>
          <w:rFonts w:ascii="Times New Roman" w:hAnsi="Times New Roman"/>
        </w:rPr>
        <w:t>18, 20</w:t>
      </w:r>
      <w:r w:rsidR="00EE0D29">
        <w:rPr>
          <w:rFonts w:ascii="Times New Roman" w:hAnsi="Times New Roman"/>
        </w:rPr>
        <w:t xml:space="preserve"> </w:t>
      </w:r>
      <w:proofErr w:type="spellStart"/>
      <w:r w:rsidR="00B11B8C" w:rsidRPr="00B11B8C">
        <w:rPr>
          <w:rFonts w:ascii="Times New Roman" w:hAnsi="Times New Roman"/>
        </w:rPr>
        <w:t>Paras</w:t>
      </w:r>
      <w:proofErr w:type="spellEnd"/>
      <w:r w:rsidR="00EE0D29">
        <w:rPr>
          <w:rFonts w:ascii="Times New Roman" w:hAnsi="Times New Roman"/>
        </w:rPr>
        <w:t>.</w:t>
      </w:r>
      <w:proofErr w:type="gramEnd"/>
      <w:r w:rsidR="00B11B8C" w:rsidRPr="00B11B8C">
        <w:rPr>
          <w:rFonts w:ascii="Times New Roman" w:hAnsi="Times New Roman"/>
        </w:rPr>
        <w:t xml:space="preserve"> </w:t>
      </w:r>
      <w:r w:rsidR="00EE0D29">
        <w:rPr>
          <w:rFonts w:ascii="Times New Roman" w:hAnsi="Times New Roman"/>
        </w:rPr>
        <w:t>(</w:t>
      </w:r>
      <w:r w:rsidR="00B11B8C" w:rsidRPr="00B11B8C">
        <w:rPr>
          <w:rFonts w:ascii="Times New Roman" w:hAnsi="Times New Roman"/>
        </w:rPr>
        <w:t>E</w:t>
      </w:r>
      <w:r w:rsidR="00EE0D29">
        <w:rPr>
          <w:rFonts w:ascii="Times New Roman" w:hAnsi="Times New Roman"/>
        </w:rPr>
        <w:t>)–(</w:t>
      </w:r>
      <w:r w:rsidR="00B11B8C" w:rsidRPr="00B11B8C">
        <w:rPr>
          <w:rFonts w:ascii="Times New Roman" w:hAnsi="Times New Roman"/>
        </w:rPr>
        <w:t>F)</w:t>
      </w:r>
      <w:r w:rsidR="00B11B8C">
        <w:t xml:space="preserve"> </w:t>
      </w:r>
    </w:p>
  </w:footnote>
  <w:footnote w:id="16">
    <w:p w:rsidR="00802B18" w:rsidRDefault="00802B18">
      <w:pPr>
        <w:pStyle w:val="FootnoteText"/>
      </w:pPr>
      <w:r>
        <w:rPr>
          <w:rStyle w:val="FootnoteReference"/>
        </w:rPr>
        <w:footnoteRef/>
      </w:r>
      <w:r w:rsidR="00EE0D29">
        <w:t xml:space="preserve"> </w:t>
      </w:r>
      <w:proofErr w:type="gramStart"/>
      <w:r w:rsidR="00EE0D29">
        <w:t>Supra,</w:t>
      </w:r>
      <w:r>
        <w:t xml:space="preserve"> at P. </w:t>
      </w:r>
      <w:r w:rsidRPr="00EE0D29">
        <w:rPr>
          <w:rFonts w:ascii="Times New Roman" w:hAnsi="Times New Roman"/>
        </w:rPr>
        <w:t>21</w:t>
      </w:r>
      <w:r w:rsidR="00EE0D29">
        <w:rPr>
          <w:rFonts w:ascii="Times New Roman" w:hAnsi="Times New Roman"/>
        </w:rPr>
        <w:t xml:space="preserve">, </w:t>
      </w:r>
      <w:proofErr w:type="spellStart"/>
      <w:r w:rsidRPr="00EE0D29">
        <w:rPr>
          <w:rFonts w:ascii="Times New Roman" w:hAnsi="Times New Roman"/>
        </w:rPr>
        <w:t>Paras</w:t>
      </w:r>
      <w:proofErr w:type="spellEnd"/>
      <w:r w:rsidR="00EE0D29">
        <w:rPr>
          <w:rFonts w:ascii="Times New Roman" w:hAnsi="Times New Roman"/>
        </w:rPr>
        <w:t>.</w:t>
      </w:r>
      <w:proofErr w:type="gramEnd"/>
      <w:r w:rsidR="00EE0D29">
        <w:rPr>
          <w:rFonts w:ascii="Times New Roman" w:hAnsi="Times New Roman"/>
        </w:rPr>
        <w:t xml:space="preserve"> </w:t>
      </w:r>
      <w:r w:rsidRPr="00EE0D29">
        <w:rPr>
          <w:rFonts w:ascii="Times New Roman" w:hAnsi="Times New Roman"/>
        </w:rPr>
        <w:t xml:space="preserve"> </w:t>
      </w:r>
      <w:r w:rsidR="00EE0D29">
        <w:rPr>
          <w:rFonts w:ascii="Times New Roman" w:hAnsi="Times New Roman"/>
        </w:rPr>
        <w:t>(</w:t>
      </w:r>
      <w:r w:rsidRPr="00EE0D29">
        <w:rPr>
          <w:rFonts w:ascii="Times New Roman" w:hAnsi="Times New Roman"/>
        </w:rPr>
        <w:t>A</w:t>
      </w:r>
      <w:r w:rsidR="00EE0D29">
        <w:rPr>
          <w:rFonts w:ascii="Times New Roman" w:hAnsi="Times New Roman"/>
        </w:rPr>
        <w:t>)</w:t>
      </w:r>
      <w:r w:rsidRPr="00EE0D29">
        <w:rPr>
          <w:rFonts w:ascii="Times New Roman" w:hAnsi="Times New Roman"/>
        </w:rPr>
        <w:t>–</w:t>
      </w:r>
      <w:r w:rsidR="00EE0D29">
        <w:rPr>
          <w:rFonts w:ascii="Times New Roman" w:hAnsi="Times New Roman"/>
        </w:rPr>
        <w:t>(</w:t>
      </w:r>
      <w:r w:rsidRPr="00EE0D29">
        <w:rPr>
          <w:rFonts w:ascii="Times New Roman" w:hAnsi="Times New Roman"/>
        </w:rPr>
        <w:t>F)</w:t>
      </w:r>
    </w:p>
  </w:footnote>
  <w:footnote w:id="17">
    <w:p w:rsidR="00A54D12" w:rsidRPr="007063F2" w:rsidRDefault="00A54D12">
      <w:pPr>
        <w:pStyle w:val="FootnoteText"/>
      </w:pPr>
      <w:r>
        <w:rPr>
          <w:rStyle w:val="FootnoteReference"/>
        </w:rPr>
        <w:footnoteRef/>
      </w:r>
      <w:r>
        <w:t xml:space="preserve"> </w:t>
      </w:r>
      <w:proofErr w:type="spellStart"/>
      <w:proofErr w:type="gramStart"/>
      <w:r w:rsidRPr="007063F2">
        <w:rPr>
          <w:rFonts w:ascii="Times New Roman" w:hAnsi="Times New Roman"/>
        </w:rPr>
        <w:t>Oyetola</w:t>
      </w:r>
      <w:proofErr w:type="spellEnd"/>
      <w:r w:rsidRPr="007063F2">
        <w:rPr>
          <w:rFonts w:ascii="Times New Roman" w:hAnsi="Times New Roman"/>
        </w:rPr>
        <w:t xml:space="preserve"> &amp; </w:t>
      </w:r>
      <w:proofErr w:type="spellStart"/>
      <w:r w:rsidRPr="007063F2">
        <w:rPr>
          <w:rFonts w:ascii="Times New Roman" w:hAnsi="Times New Roman"/>
        </w:rPr>
        <w:t>anor</w:t>
      </w:r>
      <w:proofErr w:type="spellEnd"/>
      <w:r w:rsidRPr="007063F2">
        <w:rPr>
          <w:rFonts w:ascii="Times New Roman" w:hAnsi="Times New Roman"/>
        </w:rPr>
        <w:t>.</w:t>
      </w:r>
      <w:proofErr w:type="gramEnd"/>
      <w:r w:rsidRPr="007063F2">
        <w:rPr>
          <w:rFonts w:ascii="Times New Roman" w:hAnsi="Times New Roman"/>
        </w:rPr>
        <w:t xml:space="preserve"> </w:t>
      </w:r>
      <w:proofErr w:type="gramStart"/>
      <w:r w:rsidRPr="007063F2">
        <w:rPr>
          <w:rFonts w:ascii="Times New Roman" w:hAnsi="Times New Roman"/>
        </w:rPr>
        <w:t>v</w:t>
      </w:r>
      <w:proofErr w:type="gramEnd"/>
      <w:r w:rsidRPr="007063F2">
        <w:rPr>
          <w:rFonts w:ascii="Times New Roman" w:hAnsi="Times New Roman"/>
        </w:rPr>
        <w:t xml:space="preserve"> INEC &amp; </w:t>
      </w:r>
      <w:proofErr w:type="spellStart"/>
      <w:r w:rsidRPr="007063F2">
        <w:rPr>
          <w:rFonts w:ascii="Times New Roman" w:hAnsi="Times New Roman"/>
        </w:rPr>
        <w:t>Ors</w:t>
      </w:r>
      <w:proofErr w:type="spellEnd"/>
      <w:r w:rsidRPr="007063F2">
        <w:rPr>
          <w:rFonts w:ascii="Times New Roman" w:hAnsi="Times New Roman"/>
        </w:rPr>
        <w:t>. (2023) LPELR 60392 (SC)</w:t>
      </w:r>
      <w:r w:rsidRPr="007063F2">
        <w:rPr>
          <w:rFonts w:ascii="Times New Roman" w:hAnsi="Times New Roman"/>
          <w:b/>
          <w:i/>
        </w:rPr>
        <w:t xml:space="preserve"> </w:t>
      </w:r>
      <w:r w:rsidRPr="007063F2">
        <w:rPr>
          <w:rFonts w:ascii="Times New Roman" w:hAnsi="Times New Roman"/>
        </w:rPr>
        <w:t>Per E</w:t>
      </w:r>
      <w:r w:rsidR="007063F2" w:rsidRPr="007063F2">
        <w:rPr>
          <w:rFonts w:ascii="Times New Roman" w:hAnsi="Times New Roman"/>
        </w:rPr>
        <w:t xml:space="preserve">mmanuel A. </w:t>
      </w:r>
      <w:proofErr w:type="spellStart"/>
      <w:r w:rsidR="007063F2" w:rsidRPr="007063F2">
        <w:rPr>
          <w:rFonts w:ascii="Times New Roman" w:hAnsi="Times New Roman"/>
        </w:rPr>
        <w:t>Agim</w:t>
      </w:r>
      <w:proofErr w:type="spellEnd"/>
      <w:r w:rsidR="007063F2" w:rsidRPr="007063F2">
        <w:rPr>
          <w:rFonts w:ascii="Times New Roman" w:hAnsi="Times New Roman"/>
        </w:rPr>
        <w:t xml:space="preserve"> </w:t>
      </w:r>
      <w:r w:rsidRPr="007063F2">
        <w:rPr>
          <w:rFonts w:ascii="Times New Roman" w:hAnsi="Times New Roman"/>
        </w:rPr>
        <w:t xml:space="preserve">JSC </w:t>
      </w:r>
      <w:r w:rsidR="007063F2">
        <w:rPr>
          <w:rFonts w:ascii="Times New Roman" w:hAnsi="Times New Roman"/>
        </w:rPr>
        <w:t xml:space="preserve">at </w:t>
      </w:r>
      <w:r w:rsidRPr="007063F2">
        <w:rPr>
          <w:rFonts w:ascii="Times New Roman" w:hAnsi="Times New Roman"/>
        </w:rPr>
        <w:t>Pp</w:t>
      </w:r>
      <w:r w:rsidR="007063F2">
        <w:rPr>
          <w:rFonts w:ascii="Times New Roman" w:hAnsi="Times New Roman"/>
        </w:rPr>
        <w:t>.</w:t>
      </w:r>
      <w:r w:rsidRPr="007063F2">
        <w:rPr>
          <w:rFonts w:ascii="Times New Roman" w:hAnsi="Times New Roman"/>
        </w:rPr>
        <w:t xml:space="preserve"> 18 – 20 </w:t>
      </w:r>
      <w:proofErr w:type="spellStart"/>
      <w:r w:rsidRPr="007063F2">
        <w:rPr>
          <w:rFonts w:ascii="Times New Roman" w:hAnsi="Times New Roman"/>
        </w:rPr>
        <w:t>Paras</w:t>
      </w:r>
      <w:proofErr w:type="spellEnd"/>
      <w:r w:rsidRPr="007063F2">
        <w:rPr>
          <w:rFonts w:ascii="Times New Roman" w:hAnsi="Times New Roman"/>
        </w:rPr>
        <w:t xml:space="preserve"> </w:t>
      </w:r>
      <w:r w:rsidR="007063F2">
        <w:rPr>
          <w:rFonts w:ascii="Times New Roman" w:hAnsi="Times New Roman"/>
        </w:rPr>
        <w:t>(A)</w:t>
      </w:r>
      <w:r w:rsidRPr="007063F2">
        <w:rPr>
          <w:rFonts w:ascii="Times New Roman" w:hAnsi="Times New Roman"/>
        </w:rPr>
        <w:t>–</w:t>
      </w:r>
      <w:r w:rsidR="007063F2">
        <w:rPr>
          <w:rFonts w:ascii="Times New Roman" w:hAnsi="Times New Roman"/>
        </w:rPr>
        <w:t>(</w:t>
      </w:r>
      <w:r w:rsidRPr="007063F2">
        <w:rPr>
          <w:rFonts w:ascii="Times New Roman" w:hAnsi="Times New Roman"/>
        </w:rPr>
        <w:t>D)</w:t>
      </w:r>
    </w:p>
  </w:footnote>
  <w:footnote w:id="18">
    <w:p w:rsidR="00B15981" w:rsidRDefault="00B15981">
      <w:pPr>
        <w:pStyle w:val="FootnoteText"/>
      </w:pPr>
      <w:r>
        <w:rPr>
          <w:rStyle w:val="FootnoteReference"/>
        </w:rPr>
        <w:footnoteRef/>
      </w:r>
      <w:r>
        <w:t xml:space="preserve"> </w:t>
      </w:r>
      <w:proofErr w:type="spellStart"/>
      <w:proofErr w:type="gramStart"/>
      <w:r>
        <w:t>Oyetola</w:t>
      </w:r>
      <w:proofErr w:type="spellEnd"/>
      <w:r>
        <w:t xml:space="preserve"> &amp; </w:t>
      </w:r>
      <w:proofErr w:type="spellStart"/>
      <w:r>
        <w:t>Anor</w:t>
      </w:r>
      <w:proofErr w:type="spellEnd"/>
      <w:r>
        <w:t xml:space="preserve">, supra, at </w:t>
      </w:r>
      <w:proofErr w:type="spellStart"/>
      <w:r>
        <w:t>paras</w:t>
      </w:r>
      <w:proofErr w:type="spellEnd"/>
      <w:r>
        <w:t>.</w:t>
      </w:r>
      <w:proofErr w:type="gramEnd"/>
      <w:r>
        <w:t xml:space="preserve"> (A)-(F)</w:t>
      </w:r>
    </w:p>
  </w:footnote>
  <w:footnote w:id="19">
    <w:p w:rsidR="00B15981" w:rsidRDefault="00B15981">
      <w:pPr>
        <w:pStyle w:val="FootnoteText"/>
      </w:pPr>
      <w:r>
        <w:rPr>
          <w:rStyle w:val="FootnoteReference"/>
        </w:rPr>
        <w:footnoteRef/>
      </w:r>
      <w:r>
        <w:t xml:space="preserve"> </w:t>
      </w:r>
      <w:proofErr w:type="spellStart"/>
      <w:proofErr w:type="gramStart"/>
      <w:r w:rsidRPr="007063F2">
        <w:rPr>
          <w:rFonts w:ascii="Times New Roman" w:hAnsi="Times New Roman"/>
        </w:rPr>
        <w:t>Oyetola</w:t>
      </w:r>
      <w:proofErr w:type="spellEnd"/>
      <w:r w:rsidRPr="007063F2">
        <w:rPr>
          <w:rFonts w:ascii="Times New Roman" w:hAnsi="Times New Roman"/>
        </w:rPr>
        <w:t xml:space="preserve"> &amp; </w:t>
      </w:r>
      <w:proofErr w:type="spellStart"/>
      <w:r w:rsidRPr="007063F2">
        <w:rPr>
          <w:rFonts w:ascii="Times New Roman" w:hAnsi="Times New Roman"/>
        </w:rPr>
        <w:t>anor</w:t>
      </w:r>
      <w:proofErr w:type="spellEnd"/>
      <w:r w:rsidRPr="007063F2">
        <w:rPr>
          <w:rFonts w:ascii="Times New Roman" w:hAnsi="Times New Roman"/>
        </w:rPr>
        <w:t>.</w:t>
      </w:r>
      <w:proofErr w:type="gramEnd"/>
      <w:r w:rsidRPr="007063F2">
        <w:rPr>
          <w:rFonts w:ascii="Times New Roman" w:hAnsi="Times New Roman"/>
        </w:rPr>
        <w:t xml:space="preserve"> </w:t>
      </w:r>
      <w:proofErr w:type="gramStart"/>
      <w:r w:rsidRPr="007063F2">
        <w:rPr>
          <w:rFonts w:ascii="Times New Roman" w:hAnsi="Times New Roman"/>
        </w:rPr>
        <w:t>v</w:t>
      </w:r>
      <w:proofErr w:type="gramEnd"/>
      <w:r w:rsidRPr="007063F2">
        <w:rPr>
          <w:rFonts w:ascii="Times New Roman" w:hAnsi="Times New Roman"/>
        </w:rPr>
        <w:t xml:space="preserve"> INEC &amp; </w:t>
      </w:r>
      <w:proofErr w:type="spellStart"/>
      <w:r w:rsidRPr="007063F2">
        <w:rPr>
          <w:rFonts w:ascii="Times New Roman" w:hAnsi="Times New Roman"/>
        </w:rPr>
        <w:t>Ors</w:t>
      </w:r>
      <w:proofErr w:type="spellEnd"/>
      <w:r w:rsidRPr="007063F2">
        <w:rPr>
          <w:rFonts w:ascii="Times New Roman" w:hAnsi="Times New Roman"/>
        </w:rPr>
        <w:t>. (2023) LPELR 60392 (SC)</w:t>
      </w:r>
      <w:r w:rsidRPr="007063F2">
        <w:rPr>
          <w:rFonts w:ascii="Times New Roman" w:hAnsi="Times New Roman"/>
          <w:b/>
          <w:i/>
        </w:rPr>
        <w:t xml:space="preserve"> </w:t>
      </w:r>
      <w:r w:rsidRPr="007063F2">
        <w:rPr>
          <w:rFonts w:ascii="Times New Roman" w:hAnsi="Times New Roman"/>
        </w:rPr>
        <w:t xml:space="preserve">Per Emmanuel A. </w:t>
      </w:r>
      <w:proofErr w:type="spellStart"/>
      <w:r w:rsidRPr="007063F2">
        <w:rPr>
          <w:rFonts w:ascii="Times New Roman" w:hAnsi="Times New Roman"/>
        </w:rPr>
        <w:t>Agim</w:t>
      </w:r>
      <w:proofErr w:type="spellEnd"/>
      <w:r w:rsidRPr="007063F2">
        <w:rPr>
          <w:rFonts w:ascii="Times New Roman" w:hAnsi="Times New Roman"/>
        </w:rPr>
        <w:t xml:space="preserve"> JSC </w:t>
      </w:r>
      <w:r>
        <w:rPr>
          <w:rFonts w:ascii="Times New Roman" w:hAnsi="Times New Roman"/>
        </w:rPr>
        <w:t xml:space="preserve">at </w:t>
      </w:r>
      <w:r w:rsidRPr="007063F2">
        <w:rPr>
          <w:rFonts w:ascii="Times New Roman" w:hAnsi="Times New Roman"/>
        </w:rPr>
        <w:t>Pp</w:t>
      </w:r>
      <w:r>
        <w:rPr>
          <w:rFonts w:ascii="Times New Roman" w:hAnsi="Times New Roman"/>
        </w:rPr>
        <w:t>. 16</w:t>
      </w:r>
      <w:r w:rsidRPr="007063F2">
        <w:rPr>
          <w:rFonts w:ascii="Times New Roman" w:hAnsi="Times New Roman"/>
        </w:rPr>
        <w:t xml:space="preserve"> –</w:t>
      </w:r>
      <w:r>
        <w:rPr>
          <w:rFonts w:ascii="Times New Roman" w:hAnsi="Times New Roman"/>
        </w:rPr>
        <w:t>18</w:t>
      </w:r>
      <w:r w:rsidRPr="007063F2">
        <w:rPr>
          <w:rFonts w:ascii="Times New Roman" w:hAnsi="Times New Roman"/>
        </w:rPr>
        <w:t xml:space="preserve"> </w:t>
      </w:r>
      <w:proofErr w:type="spellStart"/>
      <w:r w:rsidRPr="007063F2">
        <w:rPr>
          <w:rFonts w:ascii="Times New Roman" w:hAnsi="Times New Roman"/>
        </w:rPr>
        <w:t>Paras</w:t>
      </w:r>
      <w:proofErr w:type="spellEnd"/>
      <w:r w:rsidRPr="007063F2">
        <w:rPr>
          <w:rFonts w:ascii="Times New Roman" w:hAnsi="Times New Roman"/>
        </w:rPr>
        <w:t xml:space="preserve"> </w:t>
      </w:r>
      <w:r>
        <w:rPr>
          <w:rFonts w:ascii="Times New Roman" w:hAnsi="Times New Roman"/>
        </w:rPr>
        <w:t>(C)</w:t>
      </w:r>
      <w:r w:rsidRPr="007063F2">
        <w:rPr>
          <w:rFonts w:ascii="Times New Roman" w:hAnsi="Times New Roman"/>
        </w:rPr>
        <w:t>–</w:t>
      </w:r>
      <w:r>
        <w:rPr>
          <w:rFonts w:ascii="Times New Roman" w:hAnsi="Times New Roman"/>
        </w:rPr>
        <w:t>(</w:t>
      </w:r>
      <w:r w:rsidRPr="007063F2">
        <w:rPr>
          <w:rFonts w:ascii="Times New Roman" w:hAnsi="Times New Roman"/>
        </w:rPr>
        <w:t>D)</w:t>
      </w:r>
    </w:p>
  </w:footnote>
  <w:footnote w:id="20">
    <w:p w:rsidR="0072629E" w:rsidRDefault="0072629E">
      <w:pPr>
        <w:pStyle w:val="FootnoteText"/>
      </w:pPr>
      <w:r>
        <w:rPr>
          <w:rStyle w:val="FootnoteReference"/>
        </w:rPr>
        <w:footnoteRef/>
      </w:r>
      <w:r>
        <w:t xml:space="preserve"> </w:t>
      </w:r>
      <w:proofErr w:type="gramStart"/>
      <w:r>
        <w:t xml:space="preserve">Supra, at P. 22, </w:t>
      </w:r>
      <w:proofErr w:type="spellStart"/>
      <w:r>
        <w:t>para</w:t>
      </w:r>
      <w:proofErr w:type="spellEnd"/>
      <w:r>
        <w:t>.</w:t>
      </w:r>
      <w:proofErr w:type="gramEnd"/>
      <w:r>
        <w:t xml:space="preserve"> (A)-(F) </w:t>
      </w:r>
    </w:p>
  </w:footnote>
  <w:footnote w:id="21">
    <w:p w:rsidR="00047BFF" w:rsidRPr="008F1459" w:rsidRDefault="00047BFF" w:rsidP="00047BFF">
      <w:pPr>
        <w:pStyle w:val="FootnoteText"/>
        <w:rPr>
          <w:lang w:val="en-GB"/>
        </w:rPr>
      </w:pPr>
      <w:r>
        <w:rPr>
          <w:rStyle w:val="FootnoteReference"/>
        </w:rPr>
        <w:footnoteRef/>
      </w:r>
      <w:r>
        <w:t xml:space="preserve"> </w:t>
      </w:r>
      <w:r w:rsidRPr="008F1459">
        <w:t>(2019) LPELR-48488(CA)</w:t>
      </w:r>
    </w:p>
  </w:footnote>
  <w:footnote w:id="22">
    <w:p w:rsidR="00047BFF" w:rsidRDefault="00047BFF" w:rsidP="00047BFF">
      <w:pPr>
        <w:pStyle w:val="FootnoteText"/>
      </w:pPr>
      <w:r>
        <w:rPr>
          <w:rStyle w:val="FootnoteReference"/>
        </w:rPr>
        <w:footnoteRef/>
      </w:r>
      <w:r>
        <w:t xml:space="preserve"> </w:t>
      </w:r>
      <w:r w:rsidRPr="008D3023">
        <w:t>2010 (as amended)</w:t>
      </w:r>
    </w:p>
  </w:footnote>
  <w:footnote w:id="23">
    <w:p w:rsidR="00047BFF" w:rsidRPr="000400E4" w:rsidRDefault="00047BFF" w:rsidP="00047BFF">
      <w:pPr>
        <w:pStyle w:val="FootnoteText"/>
      </w:pPr>
      <w:r>
        <w:rPr>
          <w:rStyle w:val="FootnoteReference"/>
        </w:rPr>
        <w:footnoteRef/>
      </w:r>
      <w:r>
        <w:t xml:space="preserve"> </w:t>
      </w:r>
      <w:proofErr w:type="spellStart"/>
      <w:proofErr w:type="gramStart"/>
      <w:r w:rsidRPr="000400E4">
        <w:rPr>
          <w:rFonts w:ascii="Times New Roman" w:hAnsi="Times New Roman"/>
        </w:rPr>
        <w:t>Abubakar</w:t>
      </w:r>
      <w:proofErr w:type="spellEnd"/>
      <w:r w:rsidRPr="000400E4">
        <w:rPr>
          <w:rFonts w:ascii="Times New Roman" w:hAnsi="Times New Roman"/>
        </w:rPr>
        <w:t xml:space="preserve"> &amp; </w:t>
      </w:r>
      <w:proofErr w:type="spellStart"/>
      <w:r w:rsidRPr="000400E4">
        <w:rPr>
          <w:rFonts w:ascii="Times New Roman" w:hAnsi="Times New Roman"/>
        </w:rPr>
        <w:t>Anor</w:t>
      </w:r>
      <w:proofErr w:type="spellEnd"/>
      <w:r w:rsidRPr="000400E4">
        <w:rPr>
          <w:rFonts w:ascii="Times New Roman" w:hAnsi="Times New Roman"/>
        </w:rPr>
        <w:t>.</w:t>
      </w:r>
      <w:proofErr w:type="gramEnd"/>
      <w:r w:rsidRPr="000400E4">
        <w:rPr>
          <w:rFonts w:ascii="Times New Roman" w:hAnsi="Times New Roman"/>
        </w:rPr>
        <w:t xml:space="preserve"> v INEC &amp; </w:t>
      </w:r>
      <w:proofErr w:type="spellStart"/>
      <w:r w:rsidRPr="000400E4">
        <w:rPr>
          <w:rFonts w:ascii="Times New Roman" w:hAnsi="Times New Roman"/>
        </w:rPr>
        <w:t>Ors</w:t>
      </w:r>
      <w:proofErr w:type="spellEnd"/>
      <w:r w:rsidRPr="000400E4">
        <w:rPr>
          <w:rFonts w:ascii="Times New Roman" w:hAnsi="Times New Roman"/>
        </w:rPr>
        <w:t>., Supra</w:t>
      </w:r>
    </w:p>
  </w:footnote>
  <w:footnote w:id="24">
    <w:p w:rsidR="00047BFF" w:rsidRPr="000400E4" w:rsidRDefault="00047BFF" w:rsidP="00047BFF">
      <w:pPr>
        <w:spacing w:after="0" w:line="240" w:lineRule="auto"/>
        <w:jc w:val="both"/>
        <w:rPr>
          <w:rFonts w:ascii="Times New Roman" w:hAnsi="Times New Roman" w:cs="Times New Roman"/>
          <w:sz w:val="20"/>
          <w:szCs w:val="20"/>
        </w:rPr>
      </w:pPr>
      <w:r>
        <w:rPr>
          <w:rStyle w:val="FootnoteReference"/>
        </w:rPr>
        <w:footnoteRef/>
      </w:r>
      <w:r w:rsidRPr="000400E4">
        <w:rPr>
          <w:rFonts w:ascii="Times New Roman" w:hAnsi="Times New Roman" w:cs="Times New Roman"/>
          <w:sz w:val="20"/>
          <w:szCs w:val="20"/>
        </w:rPr>
        <w:t xml:space="preserve"> </w:t>
      </w:r>
      <w:proofErr w:type="gramStart"/>
      <w:r w:rsidRPr="000400E4">
        <w:rPr>
          <w:rFonts w:ascii="Times New Roman" w:hAnsi="Times New Roman" w:cs="Times New Roman"/>
          <w:sz w:val="20"/>
          <w:szCs w:val="20"/>
        </w:rPr>
        <w:t>Ibid, Per S</w:t>
      </w:r>
      <w:r>
        <w:rPr>
          <w:rFonts w:ascii="Times New Roman" w:hAnsi="Times New Roman" w:cs="Times New Roman"/>
          <w:sz w:val="20"/>
          <w:szCs w:val="20"/>
        </w:rPr>
        <w:t xml:space="preserve">amuel </w:t>
      </w:r>
      <w:proofErr w:type="spellStart"/>
      <w:r w:rsidRPr="000400E4">
        <w:rPr>
          <w:rFonts w:ascii="Times New Roman" w:hAnsi="Times New Roman" w:cs="Times New Roman"/>
          <w:sz w:val="20"/>
          <w:szCs w:val="20"/>
        </w:rPr>
        <w:t>C</w:t>
      </w:r>
      <w:r>
        <w:rPr>
          <w:rFonts w:ascii="Times New Roman" w:hAnsi="Times New Roman" w:cs="Times New Roman"/>
          <w:sz w:val="20"/>
          <w:szCs w:val="20"/>
        </w:rPr>
        <w:t>hukwudumebi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Oseji</w:t>
      </w:r>
      <w:proofErr w:type="spellEnd"/>
      <w:r>
        <w:rPr>
          <w:rFonts w:ascii="Times New Roman" w:hAnsi="Times New Roman" w:cs="Times New Roman"/>
          <w:sz w:val="20"/>
          <w:szCs w:val="20"/>
        </w:rPr>
        <w:t>,</w:t>
      </w:r>
      <w:r w:rsidRPr="000400E4">
        <w:rPr>
          <w:rFonts w:ascii="Times New Roman" w:hAnsi="Times New Roman" w:cs="Times New Roman"/>
          <w:sz w:val="20"/>
          <w:szCs w:val="20"/>
        </w:rPr>
        <w:t xml:space="preserve"> JCA </w:t>
      </w:r>
      <w:r>
        <w:rPr>
          <w:rFonts w:ascii="Times New Roman" w:hAnsi="Times New Roman" w:cs="Times New Roman"/>
          <w:sz w:val="20"/>
          <w:szCs w:val="20"/>
        </w:rPr>
        <w:t xml:space="preserve">at </w:t>
      </w:r>
      <w:r w:rsidRPr="000400E4">
        <w:rPr>
          <w:rFonts w:ascii="Times New Roman" w:hAnsi="Times New Roman" w:cs="Times New Roman"/>
          <w:sz w:val="20"/>
          <w:szCs w:val="20"/>
        </w:rPr>
        <w:t>Pp</w:t>
      </w:r>
      <w:r>
        <w:rPr>
          <w:rFonts w:ascii="Times New Roman" w:hAnsi="Times New Roman" w:cs="Times New Roman"/>
          <w:sz w:val="20"/>
          <w:szCs w:val="20"/>
        </w:rPr>
        <w:t>.</w:t>
      </w:r>
      <w:r w:rsidRPr="000400E4">
        <w:rPr>
          <w:rFonts w:ascii="Times New Roman" w:hAnsi="Times New Roman" w:cs="Times New Roman"/>
          <w:sz w:val="20"/>
          <w:szCs w:val="20"/>
        </w:rPr>
        <w:t xml:space="preserve"> 363</w:t>
      </w:r>
      <w:r>
        <w:rPr>
          <w:rFonts w:ascii="Times New Roman" w:hAnsi="Times New Roman" w:cs="Times New Roman"/>
          <w:sz w:val="20"/>
          <w:szCs w:val="20"/>
        </w:rPr>
        <w:t xml:space="preserve">, </w:t>
      </w:r>
      <w:r w:rsidRPr="000400E4">
        <w:rPr>
          <w:rFonts w:ascii="Times New Roman" w:hAnsi="Times New Roman" w:cs="Times New Roman"/>
          <w:sz w:val="20"/>
          <w:szCs w:val="20"/>
        </w:rPr>
        <w:t xml:space="preserve">384 </w:t>
      </w:r>
      <w:r>
        <w:rPr>
          <w:rFonts w:ascii="Times New Roman" w:hAnsi="Times New Roman" w:cs="Times New Roman"/>
          <w:sz w:val="20"/>
          <w:szCs w:val="20"/>
        </w:rPr>
        <w:t>(</w:t>
      </w:r>
      <w:proofErr w:type="spellStart"/>
      <w:r w:rsidRPr="000400E4">
        <w:rPr>
          <w:rFonts w:ascii="Times New Roman" w:hAnsi="Times New Roman" w:cs="Times New Roman"/>
          <w:sz w:val="20"/>
          <w:szCs w:val="20"/>
        </w:rPr>
        <w:t>Paras</w:t>
      </w:r>
      <w:proofErr w:type="spellEnd"/>
      <w:r>
        <w:rPr>
          <w:rFonts w:ascii="Times New Roman" w:hAnsi="Times New Roman" w:cs="Times New Roman"/>
          <w:sz w:val="20"/>
          <w:szCs w:val="20"/>
        </w:rPr>
        <w:t>.</w:t>
      </w:r>
      <w:proofErr w:type="gramEnd"/>
      <w:r w:rsidRPr="000400E4">
        <w:rPr>
          <w:rFonts w:ascii="Times New Roman" w:hAnsi="Times New Roman" w:cs="Times New Roman"/>
          <w:sz w:val="20"/>
          <w:szCs w:val="20"/>
        </w:rPr>
        <w:t xml:space="preserve"> </w:t>
      </w:r>
      <w:r>
        <w:rPr>
          <w:rFonts w:ascii="Times New Roman" w:hAnsi="Times New Roman" w:cs="Times New Roman"/>
          <w:sz w:val="20"/>
          <w:szCs w:val="20"/>
        </w:rPr>
        <w:t>(</w:t>
      </w:r>
      <w:r w:rsidRPr="000400E4">
        <w:rPr>
          <w:rFonts w:ascii="Times New Roman" w:hAnsi="Times New Roman" w:cs="Times New Roman"/>
          <w:sz w:val="20"/>
          <w:szCs w:val="20"/>
        </w:rPr>
        <w:t>A</w:t>
      </w:r>
      <w:r>
        <w:rPr>
          <w:rFonts w:ascii="Times New Roman" w:hAnsi="Times New Roman" w:cs="Times New Roman"/>
          <w:sz w:val="20"/>
          <w:szCs w:val="20"/>
        </w:rPr>
        <w:t>)</w:t>
      </w:r>
      <w:r w:rsidRPr="000400E4">
        <w:rPr>
          <w:rFonts w:ascii="Times New Roman" w:hAnsi="Times New Roman" w:cs="Times New Roman"/>
          <w:sz w:val="20"/>
          <w:szCs w:val="20"/>
        </w:rPr>
        <w:t>–</w:t>
      </w:r>
      <w:r>
        <w:rPr>
          <w:rFonts w:ascii="Times New Roman" w:hAnsi="Times New Roman" w:cs="Times New Roman"/>
          <w:sz w:val="20"/>
          <w:szCs w:val="20"/>
        </w:rPr>
        <w:t>(</w:t>
      </w:r>
      <w:r w:rsidRPr="000400E4">
        <w:rPr>
          <w:rFonts w:ascii="Times New Roman" w:hAnsi="Times New Roman" w:cs="Times New Roman"/>
          <w:sz w:val="20"/>
          <w:szCs w:val="20"/>
        </w:rPr>
        <w:t>D)</w:t>
      </w:r>
      <w:r>
        <w:rPr>
          <w:rFonts w:ascii="Times New Roman" w:hAnsi="Times New Roman" w:cs="Times New Roman"/>
          <w:sz w:val="20"/>
          <w:szCs w:val="20"/>
        </w:rPr>
        <w:t xml:space="preserve">  </w:t>
      </w:r>
    </w:p>
  </w:footnote>
  <w:footnote w:id="25">
    <w:p w:rsidR="00047BFF" w:rsidRDefault="00047BFF" w:rsidP="00047BFF">
      <w:pPr>
        <w:pStyle w:val="FootnoteText"/>
      </w:pPr>
      <w:r>
        <w:rPr>
          <w:rStyle w:val="FootnoteReference"/>
        </w:rPr>
        <w:footnoteRef/>
      </w:r>
      <w:r>
        <w:t xml:space="preserve"> 2010 (as amended) supra</w:t>
      </w:r>
    </w:p>
  </w:footnote>
  <w:footnote w:id="26">
    <w:p w:rsidR="00047BFF" w:rsidRDefault="00047BFF" w:rsidP="00047BFF">
      <w:pPr>
        <w:pStyle w:val="FootnoteText"/>
      </w:pPr>
      <w:r>
        <w:rPr>
          <w:rStyle w:val="FootnoteReference"/>
        </w:rPr>
        <w:footnoteRef/>
      </w:r>
      <w:r>
        <w:t xml:space="preserve"> </w:t>
      </w:r>
      <w:proofErr w:type="spellStart"/>
      <w:proofErr w:type="gramStart"/>
      <w:r>
        <w:t>U</w:t>
      </w:r>
      <w:r w:rsidRPr="006B2599">
        <w:rPr>
          <w:rFonts w:ascii="Times New Roman" w:hAnsi="Times New Roman"/>
        </w:rPr>
        <w:t>nrep</w:t>
      </w:r>
      <w:proofErr w:type="spellEnd"/>
      <w:r>
        <w:rPr>
          <w:rFonts w:ascii="Times New Roman" w:hAnsi="Times New Roman"/>
        </w:rPr>
        <w:t>.</w:t>
      </w:r>
      <w:proofErr w:type="gramEnd"/>
      <w:r w:rsidRPr="006B2599">
        <w:rPr>
          <w:rFonts w:ascii="Times New Roman" w:hAnsi="Times New Roman"/>
        </w:rPr>
        <w:t xml:space="preserve"> SC.</w:t>
      </w:r>
      <w:r>
        <w:rPr>
          <w:rFonts w:ascii="Times New Roman" w:hAnsi="Times New Roman"/>
        </w:rPr>
        <w:t xml:space="preserve"> </w:t>
      </w:r>
      <w:r w:rsidRPr="006B2599">
        <w:rPr>
          <w:rFonts w:ascii="Times New Roman" w:hAnsi="Times New Roman"/>
        </w:rPr>
        <w:t>907/2016 delivered on 8th January 2016</w:t>
      </w:r>
    </w:p>
  </w:footnote>
  <w:footnote w:id="27">
    <w:p w:rsidR="00047BFF" w:rsidRDefault="00047BFF" w:rsidP="00047BFF">
      <w:pPr>
        <w:pStyle w:val="FootnoteText"/>
      </w:pPr>
      <w:r>
        <w:rPr>
          <w:rStyle w:val="FootnoteReference"/>
        </w:rPr>
        <w:footnoteRef/>
      </w:r>
      <w:r>
        <w:t xml:space="preserve"> </w:t>
      </w:r>
      <w:r w:rsidRPr="00E57AC0">
        <w:rPr>
          <w:rFonts w:ascii="Times New Roman" w:hAnsi="Times New Roman"/>
        </w:rPr>
        <w:t>(2016) 12 NWLR (Pt. 1526) 179 at 237</w:t>
      </w:r>
      <w:r>
        <w:rPr>
          <w:rFonts w:ascii="Times New Roman" w:hAnsi="Times New Roman"/>
        </w:rPr>
        <w:t xml:space="preserve"> (</w:t>
      </w:r>
      <w:r w:rsidRPr="00E57AC0">
        <w:rPr>
          <w:rFonts w:ascii="Times New Roman" w:hAnsi="Times New Roman"/>
        </w:rPr>
        <w:t>E</w:t>
      </w:r>
      <w:r>
        <w:rPr>
          <w:rFonts w:ascii="Times New Roman" w:hAnsi="Times New Roman"/>
        </w:rPr>
        <w:t>)</w:t>
      </w:r>
      <w:r w:rsidRPr="00E57AC0">
        <w:rPr>
          <w:rFonts w:ascii="Times New Roman" w:hAnsi="Times New Roman"/>
        </w:rPr>
        <w:t>-</w:t>
      </w:r>
      <w:r>
        <w:rPr>
          <w:rFonts w:ascii="Times New Roman" w:hAnsi="Times New Roman"/>
        </w:rPr>
        <w:t>(</w:t>
      </w:r>
      <w:r w:rsidRPr="00E57AC0">
        <w:rPr>
          <w:rFonts w:ascii="Times New Roman" w:hAnsi="Times New Roman"/>
        </w:rPr>
        <w:t>H</w:t>
      </w:r>
      <w:r>
        <w:rPr>
          <w:rFonts w:ascii="Times New Roman" w:hAnsi="Times New Roman"/>
        </w:rPr>
        <w:t>)</w:t>
      </w:r>
      <w:r w:rsidRPr="00E57AC0">
        <w:rPr>
          <w:rFonts w:ascii="Times New Roman" w:hAnsi="Times New Roman"/>
        </w:rPr>
        <w:t xml:space="preserve"> to 239</w:t>
      </w:r>
      <w:r>
        <w:rPr>
          <w:rFonts w:ascii="Times New Roman" w:hAnsi="Times New Roman"/>
        </w:rPr>
        <w:t xml:space="preserve"> (</w:t>
      </w:r>
      <w:r w:rsidRPr="00E57AC0">
        <w:rPr>
          <w:rFonts w:ascii="Times New Roman" w:hAnsi="Times New Roman"/>
        </w:rPr>
        <w:t>A</w:t>
      </w:r>
      <w:r>
        <w:rPr>
          <w:rFonts w:ascii="Times New Roman" w:hAnsi="Times New Roman"/>
        </w:rPr>
        <w:t>)</w:t>
      </w:r>
      <w:r w:rsidRPr="00E57AC0">
        <w:rPr>
          <w:rFonts w:ascii="Times New Roman" w:hAnsi="Times New Roman"/>
        </w:rPr>
        <w:t xml:space="preserve"> per </w:t>
      </w:r>
      <w:proofErr w:type="spellStart"/>
      <w:r w:rsidRPr="00E57AC0">
        <w:rPr>
          <w:rFonts w:ascii="Times New Roman" w:hAnsi="Times New Roman"/>
        </w:rPr>
        <w:t>Nweze</w:t>
      </w:r>
      <w:proofErr w:type="spellEnd"/>
      <w:r w:rsidRPr="00E57AC0">
        <w:rPr>
          <w:rFonts w:ascii="Times New Roman" w:hAnsi="Times New Roman"/>
        </w:rPr>
        <w:t xml:space="preserve"> JSC</w:t>
      </w:r>
    </w:p>
  </w:footnote>
  <w:footnote w:id="28">
    <w:p w:rsidR="00047BFF" w:rsidRDefault="00047BFF" w:rsidP="00047BFF">
      <w:pPr>
        <w:pStyle w:val="FootnoteText"/>
      </w:pPr>
      <w:r>
        <w:rPr>
          <w:rStyle w:val="FootnoteReference"/>
        </w:rPr>
        <w:footnoteRef/>
      </w:r>
      <w:r>
        <w:t xml:space="preserve"> </w:t>
      </w:r>
      <w:proofErr w:type="spellStart"/>
      <w:proofErr w:type="gramStart"/>
      <w:r>
        <w:t>U</w:t>
      </w:r>
      <w:r w:rsidRPr="00E57AC0">
        <w:rPr>
          <w:rFonts w:ascii="Times New Roman" w:hAnsi="Times New Roman"/>
          <w:sz w:val="24"/>
          <w:szCs w:val="24"/>
        </w:rPr>
        <w:t>nrep</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judgment</w:t>
      </w:r>
      <w:proofErr w:type="gramEnd"/>
      <w:r>
        <w:rPr>
          <w:rFonts w:ascii="Times New Roman" w:hAnsi="Times New Roman"/>
          <w:sz w:val="24"/>
          <w:szCs w:val="24"/>
        </w:rPr>
        <w:t xml:space="preserve"> of the</w:t>
      </w:r>
      <w:r w:rsidRPr="00E57AC0">
        <w:rPr>
          <w:rFonts w:ascii="Times New Roman" w:hAnsi="Times New Roman"/>
          <w:sz w:val="24"/>
          <w:szCs w:val="24"/>
        </w:rPr>
        <w:t xml:space="preserve"> Court in appeal No. SC.1004/2015 of February 5, 2016</w:t>
      </w:r>
    </w:p>
  </w:footnote>
  <w:footnote w:id="29">
    <w:p w:rsidR="00493EAC" w:rsidRDefault="00493EAC">
      <w:pPr>
        <w:pStyle w:val="FootnoteText"/>
      </w:pPr>
      <w:r>
        <w:rPr>
          <w:rStyle w:val="FootnoteReference"/>
        </w:rPr>
        <w:footnoteRef/>
      </w:r>
      <w:r>
        <w:t xml:space="preserve"> </w:t>
      </w:r>
      <w:proofErr w:type="spellStart"/>
      <w:proofErr w:type="gramStart"/>
      <w:r>
        <w:t>Unrep</w:t>
      </w:r>
      <w:proofErr w:type="spellEnd"/>
      <w:r>
        <w:t>.</w:t>
      </w:r>
      <w:proofErr w:type="gramEnd"/>
      <w:r>
        <w:t xml:space="preserve"> </w:t>
      </w:r>
      <w:proofErr w:type="spellStart"/>
      <w:proofErr w:type="gramStart"/>
      <w:r>
        <w:t>Judgement</w:t>
      </w:r>
      <w:proofErr w:type="spellEnd"/>
      <w:r>
        <w:t>, supra.</w:t>
      </w:r>
      <w:proofErr w:type="gramEnd"/>
    </w:p>
  </w:footnote>
  <w:footnote w:id="30">
    <w:p w:rsidR="00047BFF" w:rsidRDefault="00047BFF" w:rsidP="00047BFF">
      <w:pPr>
        <w:pStyle w:val="FootnoteText"/>
      </w:pPr>
      <w:r>
        <w:rPr>
          <w:rStyle w:val="FootnoteReference"/>
        </w:rPr>
        <w:footnoteRef/>
      </w:r>
      <w:r w:rsidRPr="00FA25CD">
        <w:rPr>
          <w:rFonts w:ascii="Times New Roman" w:hAnsi="Times New Roman"/>
          <w:sz w:val="24"/>
          <w:szCs w:val="24"/>
        </w:rPr>
        <w:t>Per M</w:t>
      </w:r>
      <w:r>
        <w:rPr>
          <w:rFonts w:ascii="Times New Roman" w:hAnsi="Times New Roman"/>
          <w:sz w:val="24"/>
          <w:szCs w:val="24"/>
        </w:rPr>
        <w:t xml:space="preserve">ohammed </w:t>
      </w:r>
      <w:proofErr w:type="spellStart"/>
      <w:r>
        <w:rPr>
          <w:rFonts w:ascii="Times New Roman" w:hAnsi="Times New Roman"/>
          <w:sz w:val="24"/>
          <w:szCs w:val="24"/>
        </w:rPr>
        <w:t>Lawal</w:t>
      </w:r>
      <w:proofErr w:type="spellEnd"/>
      <w:r>
        <w:rPr>
          <w:rFonts w:ascii="Times New Roman" w:hAnsi="Times New Roman"/>
          <w:sz w:val="24"/>
          <w:szCs w:val="24"/>
        </w:rPr>
        <w:t xml:space="preserve"> </w:t>
      </w:r>
      <w:proofErr w:type="spellStart"/>
      <w:r>
        <w:rPr>
          <w:rFonts w:ascii="Times New Roman" w:hAnsi="Times New Roman"/>
          <w:sz w:val="24"/>
          <w:szCs w:val="24"/>
        </w:rPr>
        <w:t>Garba</w:t>
      </w:r>
      <w:proofErr w:type="spellEnd"/>
      <w:r>
        <w:rPr>
          <w:rFonts w:ascii="Times New Roman" w:hAnsi="Times New Roman"/>
          <w:sz w:val="24"/>
          <w:szCs w:val="24"/>
        </w:rPr>
        <w:t xml:space="preserve"> </w:t>
      </w:r>
      <w:r w:rsidRPr="00FA25CD">
        <w:rPr>
          <w:rFonts w:ascii="Times New Roman" w:hAnsi="Times New Roman"/>
          <w:sz w:val="24"/>
          <w:szCs w:val="24"/>
        </w:rPr>
        <w:t>JCA</w:t>
      </w:r>
      <w:r>
        <w:rPr>
          <w:rFonts w:ascii="Times New Roman" w:hAnsi="Times New Roman"/>
          <w:sz w:val="24"/>
          <w:szCs w:val="24"/>
        </w:rPr>
        <w:t xml:space="preserve"> at Pp. 187, 214 </w:t>
      </w:r>
      <w:proofErr w:type="spellStart"/>
      <w:r>
        <w:rPr>
          <w:rFonts w:ascii="Times New Roman" w:hAnsi="Times New Roman"/>
          <w:sz w:val="24"/>
          <w:szCs w:val="24"/>
        </w:rPr>
        <w:t>Paras</w:t>
      </w:r>
      <w:proofErr w:type="spellEnd"/>
      <w:r>
        <w:rPr>
          <w:rFonts w:ascii="Times New Roman" w:hAnsi="Times New Roman"/>
          <w:sz w:val="24"/>
          <w:szCs w:val="24"/>
        </w:rPr>
        <w:t xml:space="preserve"> (C )-(E)</w:t>
      </w:r>
      <w:r>
        <w:t xml:space="preserve"> </w:t>
      </w:r>
    </w:p>
  </w:footnote>
  <w:footnote w:id="31">
    <w:p w:rsidR="00047BFF" w:rsidRPr="00282467" w:rsidRDefault="00047BFF" w:rsidP="00047BFF">
      <w:pPr>
        <w:pStyle w:val="FootnoteText"/>
        <w:rPr>
          <w:lang w:val="en-GB"/>
        </w:rPr>
      </w:pPr>
      <w:r>
        <w:rPr>
          <w:rStyle w:val="FootnoteReference"/>
        </w:rPr>
        <w:footnoteRef/>
      </w:r>
      <w:r>
        <w:t xml:space="preserve"> Supra, </w:t>
      </w:r>
      <w:r w:rsidRPr="00282467">
        <w:rPr>
          <w:rFonts w:ascii="Times New Roman" w:hAnsi="Times New Roman"/>
          <w:sz w:val="24"/>
          <w:szCs w:val="24"/>
        </w:rPr>
        <w:t>Per S</w:t>
      </w:r>
      <w:r>
        <w:rPr>
          <w:rFonts w:ascii="Times New Roman" w:hAnsi="Times New Roman"/>
          <w:sz w:val="24"/>
          <w:szCs w:val="24"/>
        </w:rPr>
        <w:t xml:space="preserve">amuel </w:t>
      </w:r>
      <w:proofErr w:type="spellStart"/>
      <w:r>
        <w:rPr>
          <w:rFonts w:ascii="Times New Roman" w:hAnsi="Times New Roman"/>
          <w:sz w:val="24"/>
          <w:szCs w:val="24"/>
        </w:rPr>
        <w:t>Chukwudumebi</w:t>
      </w:r>
      <w:proofErr w:type="spellEnd"/>
      <w:r>
        <w:rPr>
          <w:rFonts w:ascii="Times New Roman" w:hAnsi="Times New Roman"/>
          <w:sz w:val="24"/>
          <w:szCs w:val="24"/>
        </w:rPr>
        <w:t xml:space="preserve"> </w:t>
      </w:r>
      <w:proofErr w:type="spellStart"/>
      <w:r>
        <w:rPr>
          <w:rFonts w:ascii="Times New Roman" w:hAnsi="Times New Roman"/>
          <w:sz w:val="24"/>
          <w:szCs w:val="24"/>
        </w:rPr>
        <w:t>Oseji</w:t>
      </w:r>
      <w:proofErr w:type="spellEnd"/>
      <w:r>
        <w:rPr>
          <w:rFonts w:ascii="Times New Roman" w:hAnsi="Times New Roman"/>
          <w:sz w:val="24"/>
          <w:szCs w:val="24"/>
        </w:rPr>
        <w:t>, JCA</w:t>
      </w:r>
      <w:r w:rsidRPr="00282467">
        <w:rPr>
          <w:rFonts w:ascii="Times New Roman" w:hAnsi="Times New Roman"/>
          <w:sz w:val="24"/>
          <w:szCs w:val="24"/>
        </w:rPr>
        <w:t xml:space="preserve"> </w:t>
      </w:r>
      <w:r>
        <w:rPr>
          <w:rFonts w:ascii="Times New Roman" w:hAnsi="Times New Roman"/>
          <w:sz w:val="24"/>
          <w:szCs w:val="24"/>
        </w:rPr>
        <w:t xml:space="preserve">at </w:t>
      </w:r>
      <w:r w:rsidRPr="00282467">
        <w:rPr>
          <w:rFonts w:ascii="Times New Roman" w:hAnsi="Times New Roman"/>
          <w:sz w:val="24"/>
          <w:szCs w:val="24"/>
        </w:rPr>
        <w:t>Pp</w:t>
      </w:r>
      <w:r>
        <w:rPr>
          <w:rFonts w:ascii="Times New Roman" w:hAnsi="Times New Roman"/>
          <w:sz w:val="24"/>
          <w:szCs w:val="24"/>
        </w:rPr>
        <w:t>.</w:t>
      </w:r>
      <w:r w:rsidRPr="00282467">
        <w:rPr>
          <w:rFonts w:ascii="Times New Roman" w:hAnsi="Times New Roman"/>
          <w:sz w:val="24"/>
          <w:szCs w:val="24"/>
        </w:rPr>
        <w:t xml:space="preserve"> 384</w:t>
      </w:r>
      <w:r>
        <w:rPr>
          <w:rFonts w:ascii="Times New Roman" w:hAnsi="Times New Roman"/>
          <w:sz w:val="24"/>
          <w:szCs w:val="24"/>
        </w:rPr>
        <w:t>,</w:t>
      </w:r>
      <w:r w:rsidRPr="00282467">
        <w:rPr>
          <w:rFonts w:ascii="Times New Roman" w:hAnsi="Times New Roman"/>
          <w:sz w:val="24"/>
          <w:szCs w:val="24"/>
        </w:rPr>
        <w:t xml:space="preserve"> 385 </w:t>
      </w:r>
      <w:proofErr w:type="spellStart"/>
      <w:r w:rsidRPr="00282467">
        <w:rPr>
          <w:rFonts w:ascii="Times New Roman" w:hAnsi="Times New Roman"/>
          <w:sz w:val="24"/>
          <w:szCs w:val="24"/>
        </w:rPr>
        <w:t>Paras</w:t>
      </w:r>
      <w:proofErr w:type="spellEnd"/>
      <w:r w:rsidRPr="00282467">
        <w:rPr>
          <w:rFonts w:ascii="Times New Roman" w:hAnsi="Times New Roman"/>
          <w:sz w:val="24"/>
          <w:szCs w:val="24"/>
        </w:rPr>
        <w:t xml:space="preserve"> </w:t>
      </w:r>
      <w:r>
        <w:rPr>
          <w:rFonts w:ascii="Times New Roman" w:hAnsi="Times New Roman"/>
          <w:sz w:val="24"/>
          <w:szCs w:val="24"/>
        </w:rPr>
        <w:t>(</w:t>
      </w:r>
      <w:r w:rsidRPr="00282467">
        <w:rPr>
          <w:rFonts w:ascii="Times New Roman" w:hAnsi="Times New Roman"/>
          <w:sz w:val="24"/>
          <w:szCs w:val="24"/>
        </w:rPr>
        <w:t>E</w:t>
      </w:r>
      <w:r>
        <w:rPr>
          <w:rFonts w:ascii="Times New Roman" w:hAnsi="Times New Roman"/>
          <w:sz w:val="24"/>
          <w:szCs w:val="24"/>
        </w:rPr>
        <w:t>)-(</w:t>
      </w:r>
      <w:r w:rsidRPr="00282467">
        <w:rPr>
          <w:rFonts w:ascii="Times New Roman" w:hAnsi="Times New Roman"/>
          <w:sz w:val="24"/>
          <w:szCs w:val="24"/>
        </w:rPr>
        <w:t>F)</w:t>
      </w:r>
    </w:p>
  </w:footnote>
  <w:footnote w:id="32">
    <w:p w:rsidR="00047BFF" w:rsidRDefault="00047BFF" w:rsidP="00047BFF">
      <w:pPr>
        <w:pStyle w:val="FootnoteText"/>
      </w:pPr>
      <w:r>
        <w:rPr>
          <w:rStyle w:val="FootnoteReference"/>
        </w:rPr>
        <w:footnoteRef/>
      </w:r>
      <w:r>
        <w:t xml:space="preserve"> 2010 (as amended)</w:t>
      </w:r>
    </w:p>
  </w:footnote>
  <w:footnote w:id="33">
    <w:p w:rsidR="00047BFF" w:rsidRPr="00BA6B95" w:rsidRDefault="00047BFF" w:rsidP="00047BFF">
      <w:pPr>
        <w:pStyle w:val="FootnoteText"/>
        <w:rPr>
          <w:lang w:val="en-GB"/>
        </w:rPr>
      </w:pPr>
      <w:r>
        <w:rPr>
          <w:rStyle w:val="FootnoteReference"/>
        </w:rPr>
        <w:footnoteRef/>
      </w:r>
      <w:r>
        <w:t xml:space="preserve"> </w:t>
      </w:r>
      <w:r>
        <w:rPr>
          <w:lang w:val="en-GB"/>
        </w:rPr>
        <w:t>Ibid.</w:t>
      </w:r>
    </w:p>
  </w:footnote>
  <w:footnote w:id="34">
    <w:p w:rsidR="00047BFF" w:rsidRPr="00C32D91" w:rsidRDefault="00047BFF" w:rsidP="00047BFF">
      <w:pPr>
        <w:pStyle w:val="FootnoteText"/>
        <w:rPr>
          <w:lang w:val="en-GB"/>
        </w:rPr>
      </w:pPr>
      <w:r>
        <w:rPr>
          <w:rStyle w:val="FootnoteReference"/>
        </w:rPr>
        <w:footnoteRef/>
      </w:r>
      <w:r>
        <w:t xml:space="preserve"> </w:t>
      </w:r>
      <w:r w:rsidRPr="00FD4776">
        <w:t>(2023) LPELR-60392(SC)</w:t>
      </w:r>
    </w:p>
  </w:footnote>
  <w:footnote w:id="35">
    <w:p w:rsidR="00CF2F33" w:rsidRDefault="00CF2F33" w:rsidP="00CF2F33">
      <w:pPr>
        <w:pStyle w:val="FootnoteText"/>
      </w:pPr>
      <w:r>
        <w:rPr>
          <w:rStyle w:val="FootnoteReference"/>
        </w:rPr>
        <w:footnoteRef/>
      </w:r>
      <w:r>
        <w:t xml:space="preserve"> 2010 (as amended) supra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452195"/>
      <w:docPartObj>
        <w:docPartGallery w:val="Page Numbers (Top of Page)"/>
        <w:docPartUnique/>
      </w:docPartObj>
    </w:sdtPr>
    <w:sdtEndPr>
      <w:rPr>
        <w:noProof/>
      </w:rPr>
    </w:sdtEndPr>
    <w:sdtContent>
      <w:p w:rsidR="00591610" w:rsidRDefault="00591610">
        <w:pPr>
          <w:pStyle w:val="Header"/>
        </w:pPr>
        <w:r>
          <w:t xml:space="preserve">Application of Electronic Devices in Election Proceedings in Nigeria     Vol. 1 Issue 2 (2024) </w:t>
        </w:r>
      </w:p>
    </w:sdtContent>
  </w:sdt>
  <w:p w:rsidR="00AD2420" w:rsidRDefault="00AD24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B54A52"/>
    <w:multiLevelType w:val="singleLevel"/>
    <w:tmpl w:val="3B80F9DA"/>
    <w:lvl w:ilvl="0">
      <w:start w:val="1"/>
      <w:numFmt w:val="lowerLetter"/>
      <w:lvlText w:val="%1)"/>
      <w:lvlJc w:val="left"/>
      <w:pPr>
        <w:tabs>
          <w:tab w:val="left" w:pos="420"/>
        </w:tabs>
        <w:ind w:left="420" w:hanging="420"/>
      </w:pPr>
      <w:rPr>
        <w:rFonts w:ascii="Times New Roman" w:eastAsia="SimSun" w:hAnsi="Times New Roman" w:cs="Times New Roman"/>
      </w:rPr>
    </w:lvl>
  </w:abstractNum>
  <w:abstractNum w:abstractNumId="1">
    <w:nsid w:val="04155B23"/>
    <w:multiLevelType w:val="hybridMultilevel"/>
    <w:tmpl w:val="51326F2E"/>
    <w:lvl w:ilvl="0" w:tplc="B65A0AB2">
      <w:start w:val="1"/>
      <w:numFmt w:val="lowerRoman"/>
      <w:lvlText w:val="(%1)"/>
      <w:lvlJc w:val="left"/>
      <w:pPr>
        <w:ind w:left="1080" w:hanging="72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177F0C"/>
    <w:multiLevelType w:val="hybridMultilevel"/>
    <w:tmpl w:val="F83CA508"/>
    <w:lvl w:ilvl="0" w:tplc="B372978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4E5838"/>
    <w:multiLevelType w:val="multilevel"/>
    <w:tmpl w:val="6B4EE7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95737A"/>
    <w:multiLevelType w:val="hybridMultilevel"/>
    <w:tmpl w:val="AC1E6CA4"/>
    <w:lvl w:ilvl="0" w:tplc="CA8251A4">
      <w:start w:val="1"/>
      <w:numFmt w:val="lowerRoman"/>
      <w:lvlText w:val="%1."/>
      <w:lvlJc w:val="right"/>
      <w:pPr>
        <w:ind w:left="778" w:hanging="360"/>
      </w:pPr>
      <w:rPr>
        <w:rFonts w:ascii="Times New Roman" w:eastAsiaTheme="minorHAnsi" w:hAnsi="Times New Roman" w:cs="Times New Roman"/>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
    <w:nsid w:val="1A0618C6"/>
    <w:multiLevelType w:val="hybridMultilevel"/>
    <w:tmpl w:val="7674E2A4"/>
    <w:lvl w:ilvl="0" w:tplc="C234F1C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6E15EB"/>
    <w:multiLevelType w:val="multilevel"/>
    <w:tmpl w:val="0BAC1FB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F50520F"/>
    <w:multiLevelType w:val="multilevel"/>
    <w:tmpl w:val="81A2A9C6"/>
    <w:lvl w:ilvl="0">
      <w:start w:val="3"/>
      <w:numFmt w:val="decimal"/>
      <w:lvlText w:val="%1"/>
      <w:lvlJc w:val="left"/>
      <w:pPr>
        <w:ind w:left="360" w:hanging="360"/>
      </w:pPr>
      <w:rPr>
        <w:rFonts w:hint="default"/>
        <w:i w:val="0"/>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nsid w:val="38472F2A"/>
    <w:multiLevelType w:val="hybridMultilevel"/>
    <w:tmpl w:val="518CB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B00249"/>
    <w:multiLevelType w:val="hybridMultilevel"/>
    <w:tmpl w:val="40D0C4E8"/>
    <w:lvl w:ilvl="0" w:tplc="7E40D2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7D0B7D"/>
    <w:multiLevelType w:val="hybridMultilevel"/>
    <w:tmpl w:val="E8FCA7FC"/>
    <w:lvl w:ilvl="0" w:tplc="08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1">
    <w:nsid w:val="4CC57706"/>
    <w:multiLevelType w:val="hybridMultilevel"/>
    <w:tmpl w:val="00AAD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EBC3E88"/>
    <w:multiLevelType w:val="multilevel"/>
    <w:tmpl w:val="48347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F5C3668"/>
    <w:multiLevelType w:val="hybridMultilevel"/>
    <w:tmpl w:val="CB1EB1D2"/>
    <w:lvl w:ilvl="0" w:tplc="78E0AB58">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8A919C6"/>
    <w:multiLevelType w:val="hybridMultilevel"/>
    <w:tmpl w:val="5202A478"/>
    <w:lvl w:ilvl="0" w:tplc="0FEAC1F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37BD7"/>
    <w:multiLevelType w:val="hybridMultilevel"/>
    <w:tmpl w:val="86BC548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59C21FF9"/>
    <w:multiLevelType w:val="hybridMultilevel"/>
    <w:tmpl w:val="4364BFF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6A2C87"/>
    <w:multiLevelType w:val="multilevel"/>
    <w:tmpl w:val="C504E33E"/>
    <w:lvl w:ilvl="0">
      <w:start w:val="3"/>
      <w:numFmt w:val="decimal"/>
      <w:lvlText w:val="%1"/>
      <w:lvlJc w:val="left"/>
      <w:pPr>
        <w:ind w:left="360" w:hanging="360"/>
      </w:pPr>
      <w:rPr>
        <w:rFonts w:hint="default"/>
        <w:i w:val="0"/>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nsid w:val="5B980D84"/>
    <w:multiLevelType w:val="hybridMultilevel"/>
    <w:tmpl w:val="7616936E"/>
    <w:lvl w:ilvl="0" w:tplc="ACEA04B2">
      <w:start w:val="1"/>
      <w:numFmt w:val="lowerRoman"/>
      <w:lvlText w:val="%1."/>
      <w:lvlJc w:val="left"/>
      <w:pPr>
        <w:ind w:left="1440" w:hanging="360"/>
      </w:pPr>
      <w:rPr>
        <w:rFonts w:ascii="Times New Roman" w:eastAsia="SimSun"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61CF11D2"/>
    <w:multiLevelType w:val="hybridMultilevel"/>
    <w:tmpl w:val="FC5CE1F2"/>
    <w:lvl w:ilvl="0" w:tplc="5526298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5A572E"/>
    <w:multiLevelType w:val="hybridMultilevel"/>
    <w:tmpl w:val="6D16709A"/>
    <w:lvl w:ilvl="0" w:tplc="08090017">
      <w:start w:val="1"/>
      <w:numFmt w:val="lowerLetter"/>
      <w:lvlText w:val="%1)"/>
      <w:lvlJc w:val="left"/>
      <w:pPr>
        <w:ind w:left="1498" w:hanging="360"/>
      </w:pPr>
    </w:lvl>
    <w:lvl w:ilvl="1" w:tplc="08090019" w:tentative="1">
      <w:start w:val="1"/>
      <w:numFmt w:val="lowerLetter"/>
      <w:lvlText w:val="%2."/>
      <w:lvlJc w:val="left"/>
      <w:pPr>
        <w:ind w:left="2218" w:hanging="360"/>
      </w:pPr>
    </w:lvl>
    <w:lvl w:ilvl="2" w:tplc="0809001B" w:tentative="1">
      <w:start w:val="1"/>
      <w:numFmt w:val="lowerRoman"/>
      <w:lvlText w:val="%3."/>
      <w:lvlJc w:val="right"/>
      <w:pPr>
        <w:ind w:left="2938" w:hanging="180"/>
      </w:pPr>
    </w:lvl>
    <w:lvl w:ilvl="3" w:tplc="0809000F" w:tentative="1">
      <w:start w:val="1"/>
      <w:numFmt w:val="decimal"/>
      <w:lvlText w:val="%4."/>
      <w:lvlJc w:val="left"/>
      <w:pPr>
        <w:ind w:left="3658" w:hanging="360"/>
      </w:pPr>
    </w:lvl>
    <w:lvl w:ilvl="4" w:tplc="08090019" w:tentative="1">
      <w:start w:val="1"/>
      <w:numFmt w:val="lowerLetter"/>
      <w:lvlText w:val="%5."/>
      <w:lvlJc w:val="left"/>
      <w:pPr>
        <w:ind w:left="4378" w:hanging="360"/>
      </w:pPr>
    </w:lvl>
    <w:lvl w:ilvl="5" w:tplc="0809001B" w:tentative="1">
      <w:start w:val="1"/>
      <w:numFmt w:val="lowerRoman"/>
      <w:lvlText w:val="%6."/>
      <w:lvlJc w:val="right"/>
      <w:pPr>
        <w:ind w:left="5098" w:hanging="180"/>
      </w:pPr>
    </w:lvl>
    <w:lvl w:ilvl="6" w:tplc="0809000F" w:tentative="1">
      <w:start w:val="1"/>
      <w:numFmt w:val="decimal"/>
      <w:lvlText w:val="%7."/>
      <w:lvlJc w:val="left"/>
      <w:pPr>
        <w:ind w:left="5818" w:hanging="360"/>
      </w:pPr>
    </w:lvl>
    <w:lvl w:ilvl="7" w:tplc="08090019" w:tentative="1">
      <w:start w:val="1"/>
      <w:numFmt w:val="lowerLetter"/>
      <w:lvlText w:val="%8."/>
      <w:lvlJc w:val="left"/>
      <w:pPr>
        <w:ind w:left="6538" w:hanging="360"/>
      </w:pPr>
    </w:lvl>
    <w:lvl w:ilvl="8" w:tplc="0809001B" w:tentative="1">
      <w:start w:val="1"/>
      <w:numFmt w:val="lowerRoman"/>
      <w:lvlText w:val="%9."/>
      <w:lvlJc w:val="right"/>
      <w:pPr>
        <w:ind w:left="7258" w:hanging="180"/>
      </w:pPr>
    </w:lvl>
  </w:abstractNum>
  <w:abstractNum w:abstractNumId="21">
    <w:nsid w:val="68084A28"/>
    <w:multiLevelType w:val="hybridMultilevel"/>
    <w:tmpl w:val="780E2E5C"/>
    <w:lvl w:ilvl="0" w:tplc="CE3A40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705688"/>
    <w:multiLevelType w:val="multilevel"/>
    <w:tmpl w:val="5FB8AA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3537A3E"/>
    <w:multiLevelType w:val="hybridMultilevel"/>
    <w:tmpl w:val="E28CAF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73637ADD"/>
    <w:multiLevelType w:val="multilevel"/>
    <w:tmpl w:val="8BB871D2"/>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5">
    <w:nsid w:val="748304B4"/>
    <w:multiLevelType w:val="hybridMultilevel"/>
    <w:tmpl w:val="1FE27D42"/>
    <w:lvl w:ilvl="0" w:tplc="C5D2AB3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56456DB"/>
    <w:multiLevelType w:val="hybridMultilevel"/>
    <w:tmpl w:val="BE0A1780"/>
    <w:lvl w:ilvl="0" w:tplc="59082376">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A380836"/>
    <w:multiLevelType w:val="multilevel"/>
    <w:tmpl w:val="485A0E06"/>
    <w:lvl w:ilvl="0">
      <w:start w:val="3"/>
      <w:numFmt w:val="decimal"/>
      <w:lvlText w:val="%1"/>
      <w:lvlJc w:val="left"/>
      <w:pPr>
        <w:ind w:left="360" w:hanging="360"/>
      </w:pPr>
      <w:rPr>
        <w:rFonts w:hint="default"/>
        <w:i w:val="0"/>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13"/>
  </w:num>
  <w:num w:numId="2">
    <w:abstractNumId w:val="1"/>
  </w:num>
  <w:num w:numId="3">
    <w:abstractNumId w:val="4"/>
  </w:num>
  <w:num w:numId="4">
    <w:abstractNumId w:val="11"/>
  </w:num>
  <w:num w:numId="5">
    <w:abstractNumId w:val="0"/>
  </w:num>
  <w:num w:numId="6">
    <w:abstractNumId w:val="8"/>
  </w:num>
  <w:num w:numId="7">
    <w:abstractNumId w:val="18"/>
  </w:num>
  <w:num w:numId="8">
    <w:abstractNumId w:val="6"/>
  </w:num>
  <w:num w:numId="9">
    <w:abstractNumId w:val="9"/>
  </w:num>
  <w:num w:numId="10">
    <w:abstractNumId w:val="3"/>
  </w:num>
  <w:num w:numId="11">
    <w:abstractNumId w:val="22"/>
  </w:num>
  <w:num w:numId="12">
    <w:abstractNumId w:val="15"/>
  </w:num>
  <w:num w:numId="13">
    <w:abstractNumId w:val="23"/>
  </w:num>
  <w:num w:numId="14">
    <w:abstractNumId w:val="20"/>
  </w:num>
  <w:num w:numId="15">
    <w:abstractNumId w:val="10"/>
  </w:num>
  <w:num w:numId="16">
    <w:abstractNumId w:val="27"/>
  </w:num>
  <w:num w:numId="17">
    <w:abstractNumId w:val="17"/>
  </w:num>
  <w:num w:numId="18">
    <w:abstractNumId w:val="7"/>
  </w:num>
  <w:num w:numId="19">
    <w:abstractNumId w:val="12"/>
  </w:num>
  <w:num w:numId="20">
    <w:abstractNumId w:val="24"/>
  </w:num>
  <w:num w:numId="21">
    <w:abstractNumId w:val="14"/>
  </w:num>
  <w:num w:numId="22">
    <w:abstractNumId w:val="21"/>
  </w:num>
  <w:num w:numId="23">
    <w:abstractNumId w:val="5"/>
  </w:num>
  <w:num w:numId="24">
    <w:abstractNumId w:val="19"/>
  </w:num>
  <w:num w:numId="25">
    <w:abstractNumId w:val="25"/>
  </w:num>
  <w:num w:numId="26">
    <w:abstractNumId w:val="16"/>
  </w:num>
  <w:num w:numId="27">
    <w:abstractNumId w:val="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F7E"/>
    <w:rsid w:val="00000E86"/>
    <w:rsid w:val="00006D24"/>
    <w:rsid w:val="0002342E"/>
    <w:rsid w:val="00032914"/>
    <w:rsid w:val="00037206"/>
    <w:rsid w:val="000400E4"/>
    <w:rsid w:val="0004686D"/>
    <w:rsid w:val="00047BFF"/>
    <w:rsid w:val="00047EB0"/>
    <w:rsid w:val="00056349"/>
    <w:rsid w:val="00063BF1"/>
    <w:rsid w:val="00074781"/>
    <w:rsid w:val="00083011"/>
    <w:rsid w:val="00084DE4"/>
    <w:rsid w:val="00084EE7"/>
    <w:rsid w:val="0009223F"/>
    <w:rsid w:val="000A30A5"/>
    <w:rsid w:val="000C2534"/>
    <w:rsid w:val="000C7B88"/>
    <w:rsid w:val="00106721"/>
    <w:rsid w:val="00134271"/>
    <w:rsid w:val="00134EC1"/>
    <w:rsid w:val="00153F7E"/>
    <w:rsid w:val="00156BC6"/>
    <w:rsid w:val="00160884"/>
    <w:rsid w:val="00161C55"/>
    <w:rsid w:val="00164459"/>
    <w:rsid w:val="00166CD8"/>
    <w:rsid w:val="0018191D"/>
    <w:rsid w:val="00182941"/>
    <w:rsid w:val="001A2419"/>
    <w:rsid w:val="001B4D79"/>
    <w:rsid w:val="001B663F"/>
    <w:rsid w:val="001C250A"/>
    <w:rsid w:val="001C317F"/>
    <w:rsid w:val="001D6DEE"/>
    <w:rsid w:val="001F04C1"/>
    <w:rsid w:val="001F6713"/>
    <w:rsid w:val="00203B27"/>
    <w:rsid w:val="0021264E"/>
    <w:rsid w:val="002304A9"/>
    <w:rsid w:val="0023071C"/>
    <w:rsid w:val="002315D8"/>
    <w:rsid w:val="0023328B"/>
    <w:rsid w:val="00235061"/>
    <w:rsid w:val="002445EF"/>
    <w:rsid w:val="00257EF9"/>
    <w:rsid w:val="00272070"/>
    <w:rsid w:val="00282467"/>
    <w:rsid w:val="00286CE5"/>
    <w:rsid w:val="002B6823"/>
    <w:rsid w:val="002B6E3B"/>
    <w:rsid w:val="002C1DE0"/>
    <w:rsid w:val="002E0F74"/>
    <w:rsid w:val="002E558C"/>
    <w:rsid w:val="002E5685"/>
    <w:rsid w:val="002F20F5"/>
    <w:rsid w:val="00313933"/>
    <w:rsid w:val="0032625E"/>
    <w:rsid w:val="0033643F"/>
    <w:rsid w:val="00372014"/>
    <w:rsid w:val="003739FB"/>
    <w:rsid w:val="0038150A"/>
    <w:rsid w:val="003937FB"/>
    <w:rsid w:val="003B0CA3"/>
    <w:rsid w:val="003B2636"/>
    <w:rsid w:val="003B505A"/>
    <w:rsid w:val="003D58D9"/>
    <w:rsid w:val="003F1304"/>
    <w:rsid w:val="0040731C"/>
    <w:rsid w:val="00420B44"/>
    <w:rsid w:val="00445525"/>
    <w:rsid w:val="00471473"/>
    <w:rsid w:val="00486589"/>
    <w:rsid w:val="00493EAC"/>
    <w:rsid w:val="004A006E"/>
    <w:rsid w:val="004B00EE"/>
    <w:rsid w:val="004B6550"/>
    <w:rsid w:val="004C03A4"/>
    <w:rsid w:val="004D3700"/>
    <w:rsid w:val="004D614E"/>
    <w:rsid w:val="004E4C05"/>
    <w:rsid w:val="00504886"/>
    <w:rsid w:val="005150EF"/>
    <w:rsid w:val="0052301D"/>
    <w:rsid w:val="00532437"/>
    <w:rsid w:val="005359B8"/>
    <w:rsid w:val="00537920"/>
    <w:rsid w:val="00542DB2"/>
    <w:rsid w:val="00543B1D"/>
    <w:rsid w:val="005543C1"/>
    <w:rsid w:val="005664EF"/>
    <w:rsid w:val="00574B89"/>
    <w:rsid w:val="0058184D"/>
    <w:rsid w:val="00591610"/>
    <w:rsid w:val="005E0AB7"/>
    <w:rsid w:val="005E76E4"/>
    <w:rsid w:val="0060623F"/>
    <w:rsid w:val="006130B8"/>
    <w:rsid w:val="00636661"/>
    <w:rsid w:val="00664627"/>
    <w:rsid w:val="006932C6"/>
    <w:rsid w:val="00695987"/>
    <w:rsid w:val="006B2599"/>
    <w:rsid w:val="006B5A8D"/>
    <w:rsid w:val="006B5C1E"/>
    <w:rsid w:val="006F54F6"/>
    <w:rsid w:val="007063F2"/>
    <w:rsid w:val="00723D13"/>
    <w:rsid w:val="0072629E"/>
    <w:rsid w:val="00742C63"/>
    <w:rsid w:val="00753E85"/>
    <w:rsid w:val="00760367"/>
    <w:rsid w:val="00761DD6"/>
    <w:rsid w:val="00770596"/>
    <w:rsid w:val="0077159D"/>
    <w:rsid w:val="007810C5"/>
    <w:rsid w:val="007848A0"/>
    <w:rsid w:val="00787217"/>
    <w:rsid w:val="007900DE"/>
    <w:rsid w:val="00793FF9"/>
    <w:rsid w:val="007B792C"/>
    <w:rsid w:val="007C7432"/>
    <w:rsid w:val="007D28CA"/>
    <w:rsid w:val="007E1656"/>
    <w:rsid w:val="007E6679"/>
    <w:rsid w:val="007F4678"/>
    <w:rsid w:val="00802B18"/>
    <w:rsid w:val="0082295B"/>
    <w:rsid w:val="00833C55"/>
    <w:rsid w:val="008409D4"/>
    <w:rsid w:val="00851735"/>
    <w:rsid w:val="00856612"/>
    <w:rsid w:val="00856B4A"/>
    <w:rsid w:val="00870F14"/>
    <w:rsid w:val="0087272E"/>
    <w:rsid w:val="00876125"/>
    <w:rsid w:val="0087703B"/>
    <w:rsid w:val="00880B6C"/>
    <w:rsid w:val="00880E75"/>
    <w:rsid w:val="00882CAC"/>
    <w:rsid w:val="00882D64"/>
    <w:rsid w:val="00892F1F"/>
    <w:rsid w:val="00894F1C"/>
    <w:rsid w:val="008B396D"/>
    <w:rsid w:val="008D1106"/>
    <w:rsid w:val="008D1B0B"/>
    <w:rsid w:val="008D456E"/>
    <w:rsid w:val="008D5ADD"/>
    <w:rsid w:val="008D638F"/>
    <w:rsid w:val="008E5471"/>
    <w:rsid w:val="0090343D"/>
    <w:rsid w:val="00910E54"/>
    <w:rsid w:val="00912BE1"/>
    <w:rsid w:val="0091777A"/>
    <w:rsid w:val="00921112"/>
    <w:rsid w:val="00924CF1"/>
    <w:rsid w:val="00927CC7"/>
    <w:rsid w:val="009318C6"/>
    <w:rsid w:val="0093401C"/>
    <w:rsid w:val="0095620D"/>
    <w:rsid w:val="00963841"/>
    <w:rsid w:val="00965B62"/>
    <w:rsid w:val="00980AE7"/>
    <w:rsid w:val="009A4C81"/>
    <w:rsid w:val="009D08CA"/>
    <w:rsid w:val="00A01451"/>
    <w:rsid w:val="00A0222D"/>
    <w:rsid w:val="00A20A38"/>
    <w:rsid w:val="00A54D12"/>
    <w:rsid w:val="00A81913"/>
    <w:rsid w:val="00A86F8B"/>
    <w:rsid w:val="00A9695B"/>
    <w:rsid w:val="00A96E73"/>
    <w:rsid w:val="00AA0A8B"/>
    <w:rsid w:val="00AB6D2F"/>
    <w:rsid w:val="00AC0C18"/>
    <w:rsid w:val="00AC5FE8"/>
    <w:rsid w:val="00AD2420"/>
    <w:rsid w:val="00AF17B8"/>
    <w:rsid w:val="00B038A2"/>
    <w:rsid w:val="00B11B8C"/>
    <w:rsid w:val="00B15981"/>
    <w:rsid w:val="00B3201F"/>
    <w:rsid w:val="00B35C75"/>
    <w:rsid w:val="00B52F71"/>
    <w:rsid w:val="00B53F19"/>
    <w:rsid w:val="00B6515C"/>
    <w:rsid w:val="00B66C35"/>
    <w:rsid w:val="00B82611"/>
    <w:rsid w:val="00B84310"/>
    <w:rsid w:val="00B851CE"/>
    <w:rsid w:val="00B934E3"/>
    <w:rsid w:val="00BA6B95"/>
    <w:rsid w:val="00BB5896"/>
    <w:rsid w:val="00BC5613"/>
    <w:rsid w:val="00BD44C6"/>
    <w:rsid w:val="00BD4F91"/>
    <w:rsid w:val="00BE2F86"/>
    <w:rsid w:val="00BE3A89"/>
    <w:rsid w:val="00BE781C"/>
    <w:rsid w:val="00BE7EB0"/>
    <w:rsid w:val="00C02FDF"/>
    <w:rsid w:val="00C07218"/>
    <w:rsid w:val="00C17A64"/>
    <w:rsid w:val="00C25F7A"/>
    <w:rsid w:val="00C35BDA"/>
    <w:rsid w:val="00C36BEA"/>
    <w:rsid w:val="00CA2A42"/>
    <w:rsid w:val="00CA348A"/>
    <w:rsid w:val="00CA41AB"/>
    <w:rsid w:val="00CC48CA"/>
    <w:rsid w:val="00CF2F33"/>
    <w:rsid w:val="00D140B1"/>
    <w:rsid w:val="00D17A73"/>
    <w:rsid w:val="00D26FEC"/>
    <w:rsid w:val="00D3072B"/>
    <w:rsid w:val="00D30FA6"/>
    <w:rsid w:val="00D3200B"/>
    <w:rsid w:val="00D51225"/>
    <w:rsid w:val="00D51DEC"/>
    <w:rsid w:val="00D55F78"/>
    <w:rsid w:val="00D6148B"/>
    <w:rsid w:val="00D65E1D"/>
    <w:rsid w:val="00D67780"/>
    <w:rsid w:val="00D7298E"/>
    <w:rsid w:val="00D87417"/>
    <w:rsid w:val="00DA455E"/>
    <w:rsid w:val="00DB08B1"/>
    <w:rsid w:val="00DC4BA4"/>
    <w:rsid w:val="00DD1584"/>
    <w:rsid w:val="00DE3068"/>
    <w:rsid w:val="00DE772E"/>
    <w:rsid w:val="00E003FE"/>
    <w:rsid w:val="00E0210A"/>
    <w:rsid w:val="00E1597A"/>
    <w:rsid w:val="00E21AE4"/>
    <w:rsid w:val="00E5107B"/>
    <w:rsid w:val="00E57AC0"/>
    <w:rsid w:val="00E61C9A"/>
    <w:rsid w:val="00E77D08"/>
    <w:rsid w:val="00E81C59"/>
    <w:rsid w:val="00E90AB6"/>
    <w:rsid w:val="00EB49E2"/>
    <w:rsid w:val="00EC7377"/>
    <w:rsid w:val="00EE0D29"/>
    <w:rsid w:val="00EE1A4A"/>
    <w:rsid w:val="00F144BE"/>
    <w:rsid w:val="00F20BA8"/>
    <w:rsid w:val="00F32A33"/>
    <w:rsid w:val="00F630D3"/>
    <w:rsid w:val="00F72FDD"/>
    <w:rsid w:val="00F7448D"/>
    <w:rsid w:val="00F77660"/>
    <w:rsid w:val="00F852D8"/>
    <w:rsid w:val="00F857AC"/>
    <w:rsid w:val="00F90D5D"/>
    <w:rsid w:val="00FA12F0"/>
    <w:rsid w:val="00FA25CD"/>
    <w:rsid w:val="00FA59A5"/>
    <w:rsid w:val="00FB73E3"/>
    <w:rsid w:val="00FC58B5"/>
    <w:rsid w:val="00FE64ED"/>
    <w:rsid w:val="00FF07F8"/>
    <w:rsid w:val="00FF7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3F7E"/>
    <w:pPr>
      <w:spacing w:after="0" w:line="240" w:lineRule="auto"/>
    </w:pPr>
    <w:rPr>
      <w:rFonts w:ascii="Calibri" w:eastAsia="SimSun" w:hAnsi="Calibri" w:cs="Times New Roman"/>
      <w:sz w:val="20"/>
      <w:szCs w:val="20"/>
      <w:lang w:val="en-US" w:eastAsia="zh-CN"/>
    </w:rPr>
  </w:style>
  <w:style w:type="character" w:customStyle="1" w:styleId="FootnoteTextChar">
    <w:name w:val="Footnote Text Char"/>
    <w:basedOn w:val="DefaultParagraphFont"/>
    <w:link w:val="FootnoteText"/>
    <w:uiPriority w:val="99"/>
    <w:semiHidden/>
    <w:rsid w:val="00153F7E"/>
    <w:rPr>
      <w:rFonts w:ascii="Calibri" w:eastAsia="SimSun" w:hAnsi="Calibri" w:cs="Times New Roman"/>
      <w:sz w:val="20"/>
      <w:szCs w:val="20"/>
      <w:lang w:val="en-US" w:eastAsia="zh-CN"/>
    </w:rPr>
  </w:style>
  <w:style w:type="character" w:styleId="FootnoteReference">
    <w:name w:val="footnote reference"/>
    <w:basedOn w:val="DefaultParagraphFont"/>
    <w:uiPriority w:val="99"/>
    <w:semiHidden/>
    <w:unhideWhenUsed/>
    <w:rsid w:val="00153F7E"/>
    <w:rPr>
      <w:vertAlign w:val="superscript"/>
    </w:rPr>
  </w:style>
  <w:style w:type="paragraph" w:styleId="Header">
    <w:name w:val="header"/>
    <w:basedOn w:val="Normal"/>
    <w:link w:val="HeaderChar"/>
    <w:uiPriority w:val="99"/>
    <w:unhideWhenUsed/>
    <w:rsid w:val="00AD2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420"/>
  </w:style>
  <w:style w:type="paragraph" w:styleId="Footer">
    <w:name w:val="footer"/>
    <w:basedOn w:val="Normal"/>
    <w:link w:val="FooterChar"/>
    <w:uiPriority w:val="99"/>
    <w:unhideWhenUsed/>
    <w:rsid w:val="00AD2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420"/>
  </w:style>
  <w:style w:type="paragraph" w:styleId="ListParagraph">
    <w:name w:val="List Paragraph"/>
    <w:basedOn w:val="Normal"/>
    <w:uiPriority w:val="34"/>
    <w:qFormat/>
    <w:rsid w:val="00E90AB6"/>
    <w:pPr>
      <w:ind w:left="720"/>
      <w:contextualSpacing/>
    </w:pPr>
  </w:style>
  <w:style w:type="character" w:styleId="Hyperlink">
    <w:name w:val="Hyperlink"/>
    <w:basedOn w:val="DefaultParagraphFont"/>
    <w:uiPriority w:val="99"/>
    <w:unhideWhenUsed/>
    <w:rsid w:val="00032914"/>
    <w:rPr>
      <w:color w:val="0563C1" w:themeColor="hyperlink"/>
      <w:u w:val="single"/>
    </w:rPr>
  </w:style>
  <w:style w:type="paragraph" w:styleId="Title">
    <w:name w:val="Title"/>
    <w:basedOn w:val="Normal"/>
    <w:link w:val="TitleChar"/>
    <w:qFormat/>
    <w:rsid w:val="006932C6"/>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6932C6"/>
    <w:rPr>
      <w:rFonts w:ascii="Times New Roman" w:eastAsia="Times New Roman" w:hAnsi="Times New Roman" w:cs="Times New Roman"/>
      <w:b/>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3F7E"/>
    <w:pPr>
      <w:spacing w:after="0" w:line="240" w:lineRule="auto"/>
    </w:pPr>
    <w:rPr>
      <w:rFonts w:ascii="Calibri" w:eastAsia="SimSun" w:hAnsi="Calibri" w:cs="Times New Roman"/>
      <w:sz w:val="20"/>
      <w:szCs w:val="20"/>
      <w:lang w:val="en-US" w:eastAsia="zh-CN"/>
    </w:rPr>
  </w:style>
  <w:style w:type="character" w:customStyle="1" w:styleId="FootnoteTextChar">
    <w:name w:val="Footnote Text Char"/>
    <w:basedOn w:val="DefaultParagraphFont"/>
    <w:link w:val="FootnoteText"/>
    <w:uiPriority w:val="99"/>
    <w:semiHidden/>
    <w:rsid w:val="00153F7E"/>
    <w:rPr>
      <w:rFonts w:ascii="Calibri" w:eastAsia="SimSun" w:hAnsi="Calibri" w:cs="Times New Roman"/>
      <w:sz w:val="20"/>
      <w:szCs w:val="20"/>
      <w:lang w:val="en-US" w:eastAsia="zh-CN"/>
    </w:rPr>
  </w:style>
  <w:style w:type="character" w:styleId="FootnoteReference">
    <w:name w:val="footnote reference"/>
    <w:basedOn w:val="DefaultParagraphFont"/>
    <w:uiPriority w:val="99"/>
    <w:semiHidden/>
    <w:unhideWhenUsed/>
    <w:rsid w:val="00153F7E"/>
    <w:rPr>
      <w:vertAlign w:val="superscript"/>
    </w:rPr>
  </w:style>
  <w:style w:type="paragraph" w:styleId="Header">
    <w:name w:val="header"/>
    <w:basedOn w:val="Normal"/>
    <w:link w:val="HeaderChar"/>
    <w:uiPriority w:val="99"/>
    <w:unhideWhenUsed/>
    <w:rsid w:val="00AD2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420"/>
  </w:style>
  <w:style w:type="paragraph" w:styleId="Footer">
    <w:name w:val="footer"/>
    <w:basedOn w:val="Normal"/>
    <w:link w:val="FooterChar"/>
    <w:uiPriority w:val="99"/>
    <w:unhideWhenUsed/>
    <w:rsid w:val="00AD2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420"/>
  </w:style>
  <w:style w:type="paragraph" w:styleId="ListParagraph">
    <w:name w:val="List Paragraph"/>
    <w:basedOn w:val="Normal"/>
    <w:uiPriority w:val="34"/>
    <w:qFormat/>
    <w:rsid w:val="00E90AB6"/>
    <w:pPr>
      <w:ind w:left="720"/>
      <w:contextualSpacing/>
    </w:pPr>
  </w:style>
  <w:style w:type="character" w:styleId="Hyperlink">
    <w:name w:val="Hyperlink"/>
    <w:basedOn w:val="DefaultParagraphFont"/>
    <w:uiPriority w:val="99"/>
    <w:unhideWhenUsed/>
    <w:rsid w:val="00032914"/>
    <w:rPr>
      <w:color w:val="0563C1" w:themeColor="hyperlink"/>
      <w:u w:val="single"/>
    </w:rPr>
  </w:style>
  <w:style w:type="paragraph" w:styleId="Title">
    <w:name w:val="Title"/>
    <w:basedOn w:val="Normal"/>
    <w:link w:val="TitleChar"/>
    <w:qFormat/>
    <w:rsid w:val="006932C6"/>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6932C6"/>
    <w:rPr>
      <w:rFonts w:ascii="Times New Roman" w:eastAsia="Times New Roman" w:hAnsi="Times New Roman"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72774-33BE-4733-8D1C-AD98FA04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4529</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216</cp:revision>
  <dcterms:created xsi:type="dcterms:W3CDTF">2023-11-02T19:42:00Z</dcterms:created>
  <dcterms:modified xsi:type="dcterms:W3CDTF">2024-02-26T08:22:00Z</dcterms:modified>
</cp:coreProperties>
</file>